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A84912">
      <w:pPr>
        <w:spacing w:line="576" w:lineRule="exact"/>
        <w:ind w:firstLine="0" w:firstLineChars="0"/>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w:t>
      </w:r>
      <w:r>
        <w:rPr>
          <w:rFonts w:hint="eastAsia" w:ascii="方正小标宋简体" w:hAnsi="方正小标宋简体" w:eastAsia="方正小标宋简体" w:cs="方正小标宋简体"/>
          <w:b w:val="0"/>
          <w:bCs/>
          <w:sz w:val="44"/>
          <w:szCs w:val="44"/>
          <w:lang w:val="en-US" w:eastAsia="zh-CN"/>
        </w:rPr>
        <w:t>商事调解服务规范 著作权类案件</w:t>
      </w:r>
      <w:r>
        <w:rPr>
          <w:rFonts w:hint="eastAsia" w:ascii="方正小标宋简体" w:hAnsi="方正小标宋简体" w:eastAsia="方正小标宋简体" w:cs="方正小标宋简体"/>
          <w:b w:val="0"/>
          <w:bCs/>
          <w:sz w:val="44"/>
          <w:szCs w:val="44"/>
        </w:rPr>
        <w:t>》</w:t>
      </w:r>
      <w:bookmarkStart w:id="56" w:name="_GoBack"/>
      <w:bookmarkEnd w:id="56"/>
      <w:r>
        <w:rPr>
          <w:rFonts w:hint="eastAsia" w:ascii="方正小标宋简体" w:hAnsi="方正小标宋简体" w:eastAsia="方正小标宋简体" w:cs="方正小标宋简体"/>
          <w:b w:val="0"/>
          <w:bCs/>
          <w:sz w:val="44"/>
          <w:szCs w:val="44"/>
        </w:rPr>
        <w:t>编制说明</w:t>
      </w:r>
    </w:p>
    <w:p w14:paraId="3167386B">
      <w:pPr>
        <w:spacing w:line="576" w:lineRule="exact"/>
        <w:ind w:firstLine="643"/>
        <w:jc w:val="center"/>
        <w:rPr>
          <w:rFonts w:hint="eastAsia" w:ascii="方正小标宋简体" w:hAnsi="方正小标宋简体" w:eastAsia="方正小标宋简体" w:cs="方正小标宋简体"/>
          <w:b w:val="0"/>
          <w:bCs/>
          <w:sz w:val="44"/>
          <w:szCs w:val="44"/>
        </w:rPr>
      </w:pPr>
    </w:p>
    <w:p w14:paraId="6272CCF8">
      <w:pPr>
        <w:pStyle w:val="2"/>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76" w:lineRule="exact"/>
        <w:ind w:left="0"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立项背景和目的</w:t>
      </w:r>
    </w:p>
    <w:p w14:paraId="55E3377D">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both"/>
        <w:textAlignment w:val="auto"/>
        <w:rPr>
          <w:rFonts w:hint="eastAsia" w:ascii="楷体_GB2312" w:hAnsi="楷体_GB2312" w:eastAsia="楷体_GB2312" w:cs="楷体_GB2312"/>
          <w:kern w:val="0"/>
          <w:sz w:val="32"/>
          <w:szCs w:val="32"/>
          <w:lang w:val="en-US" w:eastAsia="zh-CN"/>
        </w:rPr>
      </w:pPr>
      <w:bookmarkStart w:id="0" w:name="_Toc4674"/>
      <w:bookmarkStart w:id="1" w:name="_Toc12243"/>
      <w:r>
        <w:rPr>
          <w:rFonts w:hint="eastAsia" w:ascii="楷体_GB2312" w:hAnsi="楷体_GB2312" w:eastAsia="楷体_GB2312" w:cs="楷体_GB2312"/>
          <w:b w:val="0"/>
          <w:bCs w:val="0"/>
          <w:kern w:val="0"/>
          <w:sz w:val="32"/>
          <w:szCs w:val="32"/>
          <w:lang w:val="en-US" w:eastAsia="zh-CN"/>
        </w:rPr>
        <w:t>（一）立项背景</w:t>
      </w:r>
      <w:bookmarkEnd w:id="0"/>
      <w:bookmarkEnd w:id="1"/>
    </w:p>
    <w:p w14:paraId="171D8D4E">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国家和地方政府高度重视知识产权保护和纠纷多元化解机制建设。《深圳建设中国特色社会主义先行示范区综合改革试点实施方案》明确提出，要完善知识产权保护机制，推动商事调解等多元化纠纷解决机制的发展，打造保护知识产权标杆城市。</w:t>
      </w:r>
    </w:p>
    <w:p w14:paraId="73098020">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深圳市作为全国科技创新与文化创意产业高地，近年来著作权纠纷案件呈现数量激增、类型复杂、技术性强等特点，对商事调解服务的专业性、规范性和实效性提出了更高要求。</w:t>
      </w:r>
    </w:p>
    <w:p w14:paraId="29B5FBB9">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知识产权的特殊性决定了知识产权纠纷具有当事人利益多元化、诉求多样化、市场复杂化、技术难度高等特征。其中，著作权类纠纷案件除具备知识产权纠纷的普遍特征外，因其权利客体、流转方式及技术关联的特殊性，又具备侵权类型集中化、批量诉讼常态化、侵权行为隐蔽化以及技术依赖性增强的显著特征。然而，当前著作权纠纷商事调解领域仍存在调解规则碎片化、缺乏统一工作标准等问题，深圳市现有的商事调解组织在著作权案件的受理范围、调解流程、证据采信、技术调查等环节存在显著差异，导致调解程序与司法审查标准脱节、调解质量参差不齐，制约了调解作为非诉解纷手段的制度效能，亟须通过制定统一的服务规范来提升调解服务的质量和效率。</w:t>
      </w:r>
    </w:p>
    <w:p w14:paraId="1ADA6B36">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both"/>
        <w:textAlignment w:val="auto"/>
        <w:rPr>
          <w:rFonts w:hint="eastAsia" w:ascii="楷体_GB2312" w:hAnsi="楷体_GB2312" w:eastAsia="楷体_GB2312" w:cs="楷体_GB2312"/>
          <w:b w:val="0"/>
          <w:bCs w:val="0"/>
          <w:kern w:val="0"/>
          <w:sz w:val="32"/>
          <w:szCs w:val="32"/>
          <w:lang w:val="en-US" w:eastAsia="zh-CN"/>
        </w:rPr>
      </w:pPr>
      <w:r>
        <w:rPr>
          <w:rFonts w:hint="eastAsia" w:ascii="楷体_GB2312" w:hAnsi="楷体_GB2312" w:eastAsia="楷体_GB2312" w:cs="楷体_GB2312"/>
          <w:b w:val="0"/>
          <w:bCs w:val="0"/>
          <w:kern w:val="0"/>
          <w:sz w:val="32"/>
          <w:szCs w:val="32"/>
          <w:lang w:val="zh-CN" w:eastAsia="zh-CN"/>
        </w:rPr>
        <w:t>（</w:t>
      </w:r>
      <w:r>
        <w:rPr>
          <w:rFonts w:hint="eastAsia" w:ascii="楷体_GB2312" w:hAnsi="楷体_GB2312" w:eastAsia="楷体_GB2312" w:cs="楷体_GB2312"/>
          <w:b w:val="0"/>
          <w:bCs w:val="0"/>
          <w:kern w:val="0"/>
          <w:sz w:val="32"/>
          <w:szCs w:val="32"/>
          <w:lang w:val="en-US" w:eastAsia="zh-CN"/>
        </w:rPr>
        <w:t>二</w:t>
      </w:r>
      <w:r>
        <w:rPr>
          <w:rFonts w:hint="eastAsia" w:ascii="楷体_GB2312" w:hAnsi="楷体_GB2312" w:eastAsia="楷体_GB2312" w:cs="楷体_GB2312"/>
          <w:b w:val="0"/>
          <w:bCs w:val="0"/>
          <w:kern w:val="0"/>
          <w:sz w:val="32"/>
          <w:szCs w:val="32"/>
          <w:lang w:val="zh-CN" w:eastAsia="zh-CN"/>
        </w:rPr>
        <w:t>）</w:t>
      </w:r>
      <w:r>
        <w:rPr>
          <w:rFonts w:hint="eastAsia" w:ascii="楷体_GB2312" w:hAnsi="楷体_GB2312" w:eastAsia="楷体_GB2312" w:cs="楷体_GB2312"/>
          <w:b w:val="0"/>
          <w:bCs w:val="0"/>
          <w:kern w:val="0"/>
          <w:sz w:val="32"/>
          <w:szCs w:val="32"/>
          <w:lang w:val="en-US" w:eastAsia="zh-CN"/>
        </w:rPr>
        <w:t>标准编制的目的</w:t>
      </w:r>
    </w:p>
    <w:p w14:paraId="0C145694">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制定《商事调解服务规范 著作权类案件》，有助于调解组织提升自身的管理水平和服务质量，增强在市场中的竞争力和影响力。同时，规范的调解服务也有助于调解组织树立良好的社会形象，吸引更多的当事人选择调解方式解决纠纷。</w:t>
      </w:r>
    </w:p>
    <w:p w14:paraId="787C5A30">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当事人在著作权纠纷中选择商事调解时，能够更加清晰地了解调解服务的流程和标准，从而更好地维护自己的合法权益。规范的调解服务也能够提高当事人对调解结果的满意度，增强当事人对调解方式的信任。</w:t>
      </w:r>
    </w:p>
    <w:p w14:paraId="79868FF1">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此外，也有利于构建更加和谐稳定的营商环境，促进深圳市文化产业和创新型经济的发展。通过规范著作权类案件的商事调解服务，能够有效地化解社会矛盾，维护社会和谐稳定。</w:t>
      </w:r>
    </w:p>
    <w:p w14:paraId="7CB4C9E3">
      <w:pPr>
        <w:pStyle w:val="2"/>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76" w:lineRule="exact"/>
        <w:ind w:left="0" w:firstLine="640" w:firstLineChars="200"/>
        <w:jc w:val="both"/>
        <w:textAlignment w:val="auto"/>
        <w:rPr>
          <w:rFonts w:hint="eastAsia" w:ascii="黑体" w:hAnsi="黑体" w:eastAsia="黑体" w:cs="黑体"/>
          <w:b w:val="0"/>
          <w:bCs w:val="0"/>
          <w:sz w:val="32"/>
          <w:szCs w:val="32"/>
          <w:lang w:val="en-US" w:eastAsia="zh-CN"/>
        </w:rPr>
      </w:pPr>
      <w:bookmarkStart w:id="2" w:name="_Toc11521"/>
      <w:bookmarkStart w:id="3" w:name="_Toc14765"/>
      <w:r>
        <w:rPr>
          <w:rFonts w:hint="eastAsia" w:ascii="黑体" w:hAnsi="黑体" w:eastAsia="黑体" w:cs="黑体"/>
          <w:b w:val="0"/>
          <w:bCs w:val="0"/>
          <w:sz w:val="32"/>
          <w:szCs w:val="32"/>
          <w:lang w:val="en-US" w:eastAsia="zh-CN"/>
        </w:rPr>
        <w:t>标准编制的过程、原则和依据</w:t>
      </w:r>
      <w:bookmarkEnd w:id="2"/>
      <w:bookmarkEnd w:id="3"/>
    </w:p>
    <w:p w14:paraId="66D27EDD">
      <w:pPr>
        <w:pStyle w:val="3"/>
        <w:keepNext w:val="0"/>
        <w:keepLines w:val="0"/>
        <w:pageBreakBefore w:val="0"/>
        <w:widowControl w:val="0"/>
        <w:numPr>
          <w:ilvl w:val="0"/>
          <w:numId w:val="2"/>
        </w:numPr>
        <w:kinsoku/>
        <w:wordWrap/>
        <w:overflowPunct/>
        <w:topLinePunct w:val="0"/>
        <w:bidi w:val="0"/>
        <w:adjustRightInd/>
        <w:snapToGrid/>
        <w:spacing w:line="576" w:lineRule="exact"/>
        <w:ind w:left="0" w:leftChars="0" w:firstLine="640" w:firstLineChars="200"/>
        <w:jc w:val="both"/>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任务来源</w:t>
      </w:r>
    </w:p>
    <w:p w14:paraId="445F3E17">
      <w:pPr>
        <w:pStyle w:val="14"/>
        <w:keepNext w:val="0"/>
        <w:keepLines w:val="0"/>
        <w:pageBreakBefore w:val="0"/>
        <w:widowControl w:val="0"/>
        <w:kinsoku/>
        <w:wordWrap/>
        <w:overflowPunct/>
        <w:topLinePunct w:val="0"/>
        <w:bidi w:val="0"/>
        <w:adjustRightInd/>
        <w:snapToGrid/>
        <w:spacing w:line="576" w:lineRule="exact"/>
        <w:ind w:left="0" w:firstLine="48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2023年5月29日，国家标准化管理委员会、司法部联合印发《国家标准化管理委员会、司法部关于下达2023年度社会管理和公共服务综合标准化试点（司法行政领域）项目的通知》（国标委联〔2023〕28号），“广东深圳光明区商事调解服务标准化试点”（以下简称“标准化试点”）获批在列。</w:t>
      </w:r>
    </w:p>
    <w:p w14:paraId="2CD93405">
      <w:pPr>
        <w:pStyle w:val="14"/>
        <w:keepNext w:val="0"/>
        <w:keepLines w:val="0"/>
        <w:pageBreakBefore w:val="0"/>
        <w:widowControl w:val="0"/>
        <w:kinsoku/>
        <w:wordWrap/>
        <w:overflowPunct/>
        <w:topLinePunct w:val="0"/>
        <w:bidi w:val="0"/>
        <w:adjustRightInd/>
        <w:snapToGrid/>
        <w:spacing w:line="576" w:lineRule="exact"/>
        <w:ind w:left="0" w:firstLine="48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为推进标准化试点建设，更好地用标准化方式规范提升商事调解服务行业的发展，基于前期走访、调研、座谈等过程收集的标准化需求</w:t>
      </w:r>
      <w:r>
        <w:rPr>
          <w:rFonts w:hint="eastAsia" w:ascii="仿宋_GB2312" w:hAnsi="仿宋_GB2312" w:eastAsia="仿宋_GB2312" w:cs="仿宋_GB2312"/>
          <w:kern w:val="2"/>
          <w:sz w:val="32"/>
          <w:szCs w:val="32"/>
          <w:highlight w:val="none"/>
          <w:lang w:val="en-US" w:eastAsia="zh-CN"/>
        </w:rPr>
        <w:t>，标准化试点承担单位</w:t>
      </w:r>
      <w:r>
        <w:rPr>
          <w:rFonts w:hint="eastAsia" w:ascii="仿宋_GB2312" w:hAnsi="仿宋_GB2312" w:eastAsia="仿宋_GB2312" w:cs="仿宋_GB2312"/>
          <w:kern w:val="2"/>
          <w:sz w:val="32"/>
          <w:szCs w:val="32"/>
          <w:lang w:val="en-US" w:eastAsia="zh-CN"/>
        </w:rPr>
        <w:t>提出了包括《商事调解服务规范 著作权类案件》在内的多项标准的制修订需求和计划。</w:t>
      </w:r>
    </w:p>
    <w:p w14:paraId="29963D2B">
      <w:pPr>
        <w:pStyle w:val="3"/>
        <w:keepNext w:val="0"/>
        <w:keepLines w:val="0"/>
        <w:pageBreakBefore w:val="0"/>
        <w:widowControl w:val="0"/>
        <w:numPr>
          <w:ilvl w:val="0"/>
          <w:numId w:val="2"/>
        </w:numPr>
        <w:kinsoku/>
        <w:wordWrap/>
        <w:overflowPunct/>
        <w:topLinePunct w:val="0"/>
        <w:bidi w:val="0"/>
        <w:adjustRightInd/>
        <w:snapToGrid/>
        <w:spacing w:line="576" w:lineRule="exact"/>
        <w:ind w:left="0" w:leftChars="0" w:firstLine="640" w:firstLineChars="200"/>
        <w:jc w:val="both"/>
        <w:textAlignment w:val="auto"/>
        <w:rPr>
          <w:rFonts w:hint="eastAsia" w:ascii="楷体_GB2312" w:hAnsi="楷体_GB2312" w:eastAsia="楷体_GB2312" w:cs="楷体_GB2312"/>
          <w:b w:val="0"/>
          <w:bCs w:val="0"/>
          <w:sz w:val="32"/>
          <w:szCs w:val="32"/>
          <w:lang w:val="en-US" w:eastAsia="zh-CN"/>
        </w:rPr>
      </w:pPr>
      <w:bookmarkStart w:id="4" w:name="_Toc29100"/>
      <w:bookmarkStart w:id="5" w:name="_Toc32062"/>
      <w:bookmarkStart w:id="6" w:name="_Toc32559"/>
      <w:r>
        <w:rPr>
          <w:rFonts w:hint="eastAsia" w:ascii="楷体_GB2312" w:hAnsi="楷体_GB2312" w:eastAsia="楷体_GB2312" w:cs="楷体_GB2312"/>
          <w:b w:val="0"/>
          <w:bCs w:val="0"/>
          <w:sz w:val="32"/>
          <w:szCs w:val="32"/>
          <w:lang w:val="en-US" w:eastAsia="zh-CN"/>
        </w:rPr>
        <w:t>标准编制</w:t>
      </w:r>
      <w:bookmarkEnd w:id="4"/>
      <w:bookmarkEnd w:id="5"/>
      <w:bookmarkEnd w:id="6"/>
      <w:r>
        <w:rPr>
          <w:rFonts w:hint="eastAsia" w:ascii="楷体_GB2312" w:hAnsi="楷体_GB2312" w:eastAsia="楷体_GB2312" w:cs="楷体_GB2312"/>
          <w:b w:val="0"/>
          <w:bCs w:val="0"/>
          <w:sz w:val="32"/>
          <w:szCs w:val="32"/>
          <w:lang w:val="en-US" w:eastAsia="zh-CN"/>
        </w:rPr>
        <w:t>过程</w:t>
      </w:r>
    </w:p>
    <w:p w14:paraId="01A4BA7F">
      <w:pPr>
        <w:pStyle w:val="14"/>
        <w:keepNext w:val="0"/>
        <w:keepLines w:val="0"/>
        <w:pageBreakBefore w:val="0"/>
        <w:widowControl w:val="0"/>
        <w:kinsoku/>
        <w:wordWrap/>
        <w:overflowPunct/>
        <w:topLinePunct w:val="0"/>
        <w:bidi w:val="0"/>
        <w:adjustRightInd/>
        <w:snapToGrid/>
        <w:spacing w:line="576" w:lineRule="exact"/>
        <w:ind w:left="0" w:firstLine="48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1.现行标准梳理和商事调解组织调研。</w:t>
      </w:r>
    </w:p>
    <w:p w14:paraId="102CA984">
      <w:pPr>
        <w:pStyle w:val="14"/>
        <w:keepNext w:val="0"/>
        <w:keepLines w:val="0"/>
        <w:pageBreakBefore w:val="0"/>
        <w:widowControl w:val="0"/>
        <w:kinsoku/>
        <w:wordWrap/>
        <w:overflowPunct/>
        <w:topLinePunct w:val="0"/>
        <w:bidi w:val="0"/>
        <w:adjustRightInd/>
        <w:snapToGrid/>
        <w:spacing w:line="576" w:lineRule="exact"/>
        <w:ind w:left="0" w:firstLine="48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2025年1月—4月，标准编制组开展了国内外商事调解相关标准、文献资料的收集与商事调解组织调研工作，</w:t>
      </w:r>
      <w:r>
        <w:rPr>
          <w:rFonts w:hint="eastAsia" w:ascii="仿宋_GB2312" w:hAnsi="仿宋_GB2312" w:eastAsia="仿宋_GB2312" w:cs="仿宋_GB2312"/>
          <w:kern w:val="2"/>
          <w:sz w:val="32"/>
          <w:szCs w:val="32"/>
          <w:highlight w:val="none"/>
          <w:lang w:val="en-US" w:eastAsia="zh-CN"/>
        </w:rPr>
        <w:t>调研、梳理知识产权相关调解标准中涉及著作权案件纠纷调解的要求，同时通过开展商事调解组织现场调研和座谈会，了解深圳市商事调解组织关于著作权类案件的商事调解服务现状。</w:t>
      </w:r>
    </w:p>
    <w:p w14:paraId="559265E4">
      <w:pPr>
        <w:pStyle w:val="14"/>
        <w:keepNext w:val="0"/>
        <w:keepLines w:val="0"/>
        <w:pageBreakBefore w:val="0"/>
        <w:widowControl w:val="0"/>
        <w:kinsoku/>
        <w:wordWrap/>
        <w:overflowPunct/>
        <w:topLinePunct w:val="0"/>
        <w:bidi w:val="0"/>
        <w:adjustRightInd/>
        <w:snapToGrid/>
        <w:spacing w:line="576" w:lineRule="exact"/>
        <w:ind w:left="0" w:firstLine="48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2.标准起草编制。</w:t>
      </w:r>
    </w:p>
    <w:p w14:paraId="6209B391">
      <w:pPr>
        <w:pStyle w:val="14"/>
        <w:keepNext w:val="0"/>
        <w:keepLines w:val="0"/>
        <w:pageBreakBefore w:val="0"/>
        <w:widowControl w:val="0"/>
        <w:kinsoku/>
        <w:wordWrap/>
        <w:overflowPunct/>
        <w:topLinePunct w:val="0"/>
        <w:bidi w:val="0"/>
        <w:adjustRightInd/>
        <w:snapToGrid/>
        <w:spacing w:line="576" w:lineRule="exact"/>
        <w:ind w:left="0" w:firstLine="48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在持续深化调研及总结的基础上，2025年5月，标准编制组完成了《商事调解服务规范 著作权类案件》初稿编写，并向深圳市深圳标准促进会提请团体标准立项。</w:t>
      </w:r>
    </w:p>
    <w:p w14:paraId="2A87CEE4">
      <w:pPr>
        <w:pStyle w:val="3"/>
        <w:keepNext w:val="0"/>
        <w:keepLines w:val="0"/>
        <w:pageBreakBefore w:val="0"/>
        <w:widowControl w:val="0"/>
        <w:numPr>
          <w:ilvl w:val="0"/>
          <w:numId w:val="2"/>
        </w:numPr>
        <w:kinsoku/>
        <w:wordWrap/>
        <w:overflowPunct/>
        <w:topLinePunct w:val="0"/>
        <w:bidi w:val="0"/>
        <w:adjustRightInd/>
        <w:snapToGrid/>
        <w:spacing w:line="576" w:lineRule="exact"/>
        <w:ind w:left="0" w:leftChars="0" w:firstLine="640" w:firstLineChars="200"/>
        <w:jc w:val="both"/>
        <w:textAlignment w:val="auto"/>
        <w:rPr>
          <w:rFonts w:hint="eastAsia" w:ascii="楷体_GB2312" w:hAnsi="楷体_GB2312" w:eastAsia="楷体_GB2312" w:cs="楷体_GB2312"/>
          <w:b w:val="0"/>
          <w:bCs w:val="0"/>
          <w:sz w:val="32"/>
          <w:szCs w:val="32"/>
          <w:lang w:val="en-US" w:eastAsia="zh-CN"/>
        </w:rPr>
      </w:pPr>
      <w:bookmarkStart w:id="7" w:name="_Toc15074"/>
      <w:bookmarkStart w:id="8" w:name="_Toc21258"/>
      <w:bookmarkStart w:id="9" w:name="_Toc6201"/>
      <w:r>
        <w:rPr>
          <w:rFonts w:hint="eastAsia" w:ascii="楷体_GB2312" w:hAnsi="楷体_GB2312" w:eastAsia="楷体_GB2312" w:cs="楷体_GB2312"/>
          <w:b w:val="0"/>
          <w:bCs w:val="0"/>
          <w:sz w:val="32"/>
          <w:szCs w:val="32"/>
          <w:lang w:val="en-US" w:eastAsia="zh-CN"/>
        </w:rPr>
        <w:t>标准编制原则</w:t>
      </w:r>
    </w:p>
    <w:p w14:paraId="4FAE00B8">
      <w:pPr>
        <w:pStyle w:val="14"/>
        <w:keepNext w:val="0"/>
        <w:keepLines w:val="0"/>
        <w:pageBreakBefore w:val="0"/>
        <w:widowControl w:val="0"/>
        <w:kinsoku/>
        <w:wordWrap/>
        <w:overflowPunct/>
        <w:topLinePunct w:val="0"/>
        <w:bidi w:val="0"/>
        <w:adjustRightInd/>
        <w:snapToGrid/>
        <w:spacing w:line="576" w:lineRule="exact"/>
        <w:ind w:left="0" w:firstLine="48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1.科学性原则。</w:t>
      </w:r>
    </w:p>
    <w:p w14:paraId="3414A6FA">
      <w:pPr>
        <w:pStyle w:val="14"/>
        <w:keepNext w:val="0"/>
        <w:keepLines w:val="0"/>
        <w:pageBreakBefore w:val="0"/>
        <w:widowControl w:val="0"/>
        <w:kinsoku/>
        <w:wordWrap/>
        <w:overflowPunct/>
        <w:topLinePunct w:val="0"/>
        <w:bidi w:val="0"/>
        <w:adjustRightInd/>
        <w:snapToGrid/>
        <w:spacing w:line="576" w:lineRule="exact"/>
        <w:ind w:left="0" w:firstLine="48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本文件编制过程中广泛收集针对著作权类案件商事调解服务规范要求，经过科学的研究，进行了预先设计，在制定标准过程中遵守团体标准制定程序和编写规则。</w:t>
      </w:r>
    </w:p>
    <w:p w14:paraId="602B4CB9">
      <w:pPr>
        <w:pStyle w:val="14"/>
        <w:keepNext w:val="0"/>
        <w:keepLines w:val="0"/>
        <w:pageBreakBefore w:val="0"/>
        <w:widowControl w:val="0"/>
        <w:kinsoku/>
        <w:wordWrap/>
        <w:overflowPunct/>
        <w:topLinePunct w:val="0"/>
        <w:bidi w:val="0"/>
        <w:adjustRightInd/>
        <w:snapToGrid/>
        <w:spacing w:line="576" w:lineRule="exact"/>
        <w:ind w:left="0" w:firstLine="48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2.指导性原则。</w:t>
      </w:r>
    </w:p>
    <w:p w14:paraId="2D2D0E8E">
      <w:pPr>
        <w:pStyle w:val="14"/>
        <w:keepNext w:val="0"/>
        <w:keepLines w:val="0"/>
        <w:pageBreakBefore w:val="0"/>
        <w:widowControl w:val="0"/>
        <w:kinsoku/>
        <w:wordWrap/>
        <w:overflowPunct/>
        <w:topLinePunct w:val="0"/>
        <w:bidi w:val="0"/>
        <w:adjustRightInd/>
        <w:snapToGrid/>
        <w:spacing w:line="576" w:lineRule="exact"/>
        <w:ind w:left="0" w:firstLine="48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本文件规定了</w:t>
      </w:r>
      <w:r>
        <w:rPr>
          <w:rFonts w:hint="eastAsia" w:ascii="仿宋_GB2312" w:hAnsi="仿宋_GB2312" w:eastAsia="仿宋_GB2312" w:cs="仿宋_GB2312"/>
          <w:kern w:val="2"/>
          <w:sz w:val="32"/>
          <w:szCs w:val="32"/>
          <w:highlight w:val="none"/>
          <w:lang w:val="en-US" w:eastAsia="zh-CN"/>
        </w:rPr>
        <w:t>著作权类案件商事调解服务的基本原则、商事调解组织、商事调解员、调解程序要求等内容。本文件适用于商事调解中著作权类案件的服务规范。</w:t>
      </w:r>
    </w:p>
    <w:p w14:paraId="0CB29082">
      <w:pPr>
        <w:pStyle w:val="14"/>
        <w:keepNext w:val="0"/>
        <w:keepLines w:val="0"/>
        <w:pageBreakBefore w:val="0"/>
        <w:widowControl w:val="0"/>
        <w:kinsoku/>
        <w:wordWrap/>
        <w:overflowPunct/>
        <w:topLinePunct w:val="0"/>
        <w:bidi w:val="0"/>
        <w:adjustRightInd/>
        <w:snapToGrid/>
        <w:spacing w:line="576" w:lineRule="exact"/>
        <w:ind w:left="0" w:firstLine="48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3.地方特色性原则。</w:t>
      </w:r>
    </w:p>
    <w:p w14:paraId="302D38FA">
      <w:pPr>
        <w:pStyle w:val="14"/>
        <w:keepNext w:val="0"/>
        <w:keepLines w:val="0"/>
        <w:pageBreakBefore w:val="0"/>
        <w:widowControl w:val="0"/>
        <w:kinsoku/>
        <w:wordWrap/>
        <w:overflowPunct/>
        <w:topLinePunct w:val="0"/>
        <w:bidi w:val="0"/>
        <w:adjustRightInd/>
        <w:snapToGrid/>
        <w:spacing w:line="576" w:lineRule="exact"/>
        <w:ind w:left="0" w:firstLine="48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本文件</w:t>
      </w:r>
      <w:r>
        <w:rPr>
          <w:rFonts w:hint="eastAsia" w:ascii="仿宋_GB2312" w:hAnsi="仿宋_GB2312" w:eastAsia="仿宋_GB2312" w:cs="仿宋_GB2312"/>
          <w:kern w:val="2"/>
          <w:sz w:val="32"/>
          <w:szCs w:val="32"/>
          <w:highlight w:val="none"/>
          <w:lang w:val="en-US" w:eastAsia="zh-CN"/>
        </w:rPr>
        <w:t>商事调解服务规范（著作权类案件）的设定秉持地方特色性原则。标准编制过程充分结合深圳市商事调解组织的商事调解服务规范（著作权类案件）情况和光明区商事调解服务标准化试点要求，充分考虑可操作性，致力于打造具有深圳市地方特色的商事调解服务规范（著作权类案件）</w:t>
      </w:r>
      <w:r>
        <w:rPr>
          <w:rFonts w:hint="eastAsia" w:ascii="仿宋_GB2312" w:hAnsi="仿宋_GB2312" w:eastAsia="仿宋_GB2312" w:cs="仿宋_GB2312"/>
          <w:kern w:val="2"/>
          <w:sz w:val="32"/>
          <w:szCs w:val="32"/>
          <w:lang w:val="en-US" w:eastAsia="zh-CN"/>
        </w:rPr>
        <w:t>的典型案例，通过光明区标准化试点在全省、全国推广。</w:t>
      </w:r>
    </w:p>
    <w:p w14:paraId="14EF8C9D">
      <w:pPr>
        <w:pStyle w:val="3"/>
        <w:keepNext w:val="0"/>
        <w:keepLines w:val="0"/>
        <w:pageBreakBefore w:val="0"/>
        <w:widowControl w:val="0"/>
        <w:numPr>
          <w:ilvl w:val="0"/>
          <w:numId w:val="2"/>
        </w:numPr>
        <w:kinsoku/>
        <w:wordWrap/>
        <w:overflowPunct/>
        <w:topLinePunct w:val="0"/>
        <w:bidi w:val="0"/>
        <w:adjustRightInd/>
        <w:snapToGrid/>
        <w:spacing w:line="576" w:lineRule="exact"/>
        <w:ind w:left="0" w:leftChars="0" w:firstLine="640" w:firstLineChars="200"/>
        <w:jc w:val="both"/>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标准编制依据</w:t>
      </w:r>
      <w:bookmarkEnd w:id="7"/>
      <w:bookmarkEnd w:id="8"/>
      <w:bookmarkEnd w:id="9"/>
    </w:p>
    <w:p w14:paraId="2125A4E3">
      <w:pPr>
        <w:pStyle w:val="14"/>
        <w:keepNext w:val="0"/>
        <w:keepLines w:val="0"/>
        <w:pageBreakBefore w:val="0"/>
        <w:widowControl w:val="0"/>
        <w:kinsoku/>
        <w:wordWrap/>
        <w:overflowPunct/>
        <w:topLinePunct w:val="0"/>
        <w:bidi w:val="0"/>
        <w:adjustRightInd/>
        <w:snapToGrid/>
        <w:spacing w:line="576" w:lineRule="exact"/>
        <w:ind w:left="0" w:firstLine="48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1.标准编制的规则。</w:t>
      </w:r>
    </w:p>
    <w:p w14:paraId="05589A91">
      <w:pPr>
        <w:pStyle w:val="14"/>
        <w:keepNext w:val="0"/>
        <w:keepLines w:val="0"/>
        <w:pageBreakBefore w:val="0"/>
        <w:widowControl w:val="0"/>
        <w:kinsoku/>
        <w:wordWrap/>
        <w:overflowPunct/>
        <w:topLinePunct w:val="0"/>
        <w:bidi w:val="0"/>
        <w:adjustRightInd/>
        <w:snapToGrid/>
        <w:spacing w:line="576" w:lineRule="exact"/>
        <w:ind w:left="0" w:firstLine="48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按照GB/T 1.1—2020《标准化工作导则 第1部分：标准化文件的结构和起草规则》的要求进行编制。</w:t>
      </w:r>
    </w:p>
    <w:p w14:paraId="63AE8EEF">
      <w:pPr>
        <w:pStyle w:val="14"/>
        <w:keepNext w:val="0"/>
        <w:keepLines w:val="0"/>
        <w:pageBreakBefore w:val="0"/>
        <w:widowControl w:val="0"/>
        <w:kinsoku/>
        <w:wordWrap/>
        <w:overflowPunct/>
        <w:topLinePunct w:val="0"/>
        <w:bidi w:val="0"/>
        <w:adjustRightInd/>
        <w:snapToGrid/>
        <w:spacing w:line="576" w:lineRule="exact"/>
        <w:ind w:left="0" w:firstLine="48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2.标准编制的技术依据。</w:t>
      </w:r>
    </w:p>
    <w:p w14:paraId="1CE96EED">
      <w:pPr>
        <w:pStyle w:val="14"/>
        <w:keepNext w:val="0"/>
        <w:keepLines w:val="0"/>
        <w:pageBreakBefore w:val="0"/>
        <w:widowControl w:val="0"/>
        <w:kinsoku/>
        <w:wordWrap/>
        <w:overflowPunct/>
        <w:topLinePunct w:val="0"/>
        <w:bidi w:val="0"/>
        <w:adjustRightInd/>
        <w:snapToGrid/>
        <w:spacing w:line="576" w:lineRule="exact"/>
        <w:ind w:left="0" w:firstLine="48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本文件的编制，</w:t>
      </w:r>
      <w:r>
        <w:rPr>
          <w:rFonts w:hint="eastAsia" w:ascii="仿宋_GB2312" w:hAnsi="仿宋_GB2312" w:eastAsia="仿宋_GB2312" w:cs="仿宋_GB2312"/>
          <w:kern w:val="2"/>
          <w:sz w:val="32"/>
          <w:szCs w:val="32"/>
          <w:highlight w:val="none"/>
          <w:lang w:val="en-US" w:eastAsia="zh-CN"/>
        </w:rPr>
        <w:t>一是基于深圳市商事调解组织有关著作权类案件商事调解服务经验，二是参考国家知识产权局编写的《知识产权纠纷调解工作手册》中调解程序的内容，三是参考借鉴DB 4403/T 432—2024《知识产权纠纷中立评估指南》，通过对相关标准的梳理和分析，总结商事调解服务规范（著作权类案件）的核心要素和规范要求。</w:t>
      </w:r>
    </w:p>
    <w:p w14:paraId="11C81EEF">
      <w:pPr>
        <w:pStyle w:val="2"/>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76" w:lineRule="exact"/>
        <w:ind w:left="0" w:firstLine="640" w:firstLineChars="200"/>
        <w:jc w:val="both"/>
        <w:textAlignment w:val="auto"/>
        <w:rPr>
          <w:rFonts w:hint="eastAsia" w:ascii="黑体" w:hAnsi="黑体" w:eastAsia="黑体" w:cs="黑体"/>
          <w:b w:val="0"/>
          <w:bCs w:val="0"/>
          <w:sz w:val="32"/>
          <w:szCs w:val="32"/>
          <w:lang w:val="en-US" w:eastAsia="zh-CN"/>
        </w:rPr>
      </w:pPr>
      <w:bookmarkStart w:id="10" w:name="_Toc19464"/>
      <w:bookmarkStart w:id="11" w:name="_Toc9103"/>
      <w:bookmarkStart w:id="12" w:name="_Toc29"/>
      <w:r>
        <w:rPr>
          <w:rFonts w:hint="eastAsia" w:ascii="黑体" w:hAnsi="黑体" w:eastAsia="黑体" w:cs="黑体"/>
          <w:b w:val="0"/>
          <w:bCs w:val="0"/>
          <w:sz w:val="32"/>
          <w:szCs w:val="32"/>
          <w:lang w:val="en-US" w:eastAsia="zh-CN"/>
        </w:rPr>
        <w:t>标准主要内容</w:t>
      </w:r>
      <w:bookmarkEnd w:id="10"/>
      <w:bookmarkEnd w:id="11"/>
      <w:bookmarkEnd w:id="12"/>
    </w:p>
    <w:p w14:paraId="089E0CB9">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标准主体内容包含</w:t>
      </w:r>
      <w:r>
        <w:rPr>
          <w:rFonts w:hint="eastAsia" w:ascii="仿宋_GB2312" w:hAnsi="仿宋_GB2312" w:eastAsia="仿宋_GB2312" w:cs="仿宋_GB2312"/>
          <w:kern w:val="2"/>
          <w:sz w:val="32"/>
          <w:szCs w:val="32"/>
          <w:highlight w:val="none"/>
        </w:rPr>
        <w:t>范围、规范性引用文件、术语和定义、基本</w:t>
      </w:r>
      <w:r>
        <w:rPr>
          <w:rFonts w:hint="eastAsia" w:ascii="仿宋_GB2312" w:hAnsi="仿宋_GB2312" w:eastAsia="仿宋_GB2312" w:cs="仿宋_GB2312"/>
          <w:kern w:val="2"/>
          <w:sz w:val="32"/>
          <w:szCs w:val="32"/>
          <w:highlight w:val="none"/>
          <w:lang w:val="en-US" w:eastAsia="zh-CN"/>
        </w:rPr>
        <w:t>原则</w:t>
      </w:r>
      <w:r>
        <w:rPr>
          <w:rFonts w:hint="eastAsia" w:ascii="仿宋_GB2312" w:hAnsi="仿宋_GB2312" w:eastAsia="仿宋_GB2312" w:cs="仿宋_GB2312"/>
          <w:kern w:val="2"/>
          <w:sz w:val="32"/>
          <w:szCs w:val="32"/>
          <w:highlight w:val="none"/>
        </w:rPr>
        <w:t>、</w:t>
      </w:r>
      <w:r>
        <w:rPr>
          <w:rFonts w:hint="eastAsia" w:ascii="仿宋_GB2312" w:hAnsi="仿宋_GB2312" w:eastAsia="仿宋_GB2312" w:cs="仿宋_GB2312"/>
          <w:kern w:val="2"/>
          <w:sz w:val="32"/>
          <w:szCs w:val="32"/>
          <w:highlight w:val="none"/>
          <w:lang w:val="en-US" w:eastAsia="zh-CN"/>
        </w:rPr>
        <w:t>商事调解组织、商事调解员、调解程序要求、附录</w:t>
      </w:r>
      <w:r>
        <w:rPr>
          <w:rFonts w:hint="eastAsia" w:ascii="仿宋_GB2312" w:hAnsi="仿宋_GB2312" w:eastAsia="仿宋_GB2312" w:cs="仿宋_GB2312"/>
          <w:kern w:val="2"/>
          <w:sz w:val="32"/>
          <w:szCs w:val="32"/>
          <w:highlight w:val="none"/>
        </w:rPr>
        <w:t>（</w:t>
      </w:r>
      <w:r>
        <w:rPr>
          <w:rFonts w:hint="eastAsia" w:ascii="仿宋_GB2312" w:hAnsi="仿宋_GB2312" w:eastAsia="仿宋_GB2312" w:cs="仿宋_GB2312"/>
          <w:kern w:val="2"/>
          <w:sz w:val="32"/>
          <w:szCs w:val="32"/>
          <w:highlight w:val="none"/>
          <w:lang w:val="en-US" w:eastAsia="zh-CN"/>
        </w:rPr>
        <w:t>附录A著作权权属、侵权纠纷调解要素记录表、附录B著作权合同纠纷调解要素记录表、附录C著作权构成要素）8</w:t>
      </w:r>
      <w:r>
        <w:rPr>
          <w:rFonts w:hint="eastAsia" w:ascii="仿宋_GB2312" w:hAnsi="仿宋_GB2312" w:eastAsia="仿宋_GB2312" w:cs="仿宋_GB2312"/>
          <w:kern w:val="2"/>
          <w:sz w:val="32"/>
          <w:szCs w:val="32"/>
          <w:highlight w:val="none"/>
        </w:rPr>
        <w:t>大部分</w:t>
      </w:r>
      <w:r>
        <w:rPr>
          <w:rFonts w:hint="eastAsia" w:ascii="仿宋_GB2312" w:hAnsi="仿宋_GB2312" w:eastAsia="仿宋_GB2312" w:cs="仿宋_GB2312"/>
          <w:kern w:val="2"/>
          <w:sz w:val="32"/>
          <w:szCs w:val="32"/>
        </w:rPr>
        <w:t>组成。</w:t>
      </w:r>
    </w:p>
    <w:p w14:paraId="71A470D2">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both"/>
        <w:textAlignment w:val="auto"/>
        <w:rPr>
          <w:rFonts w:hint="eastAsia" w:ascii="楷体_GB2312" w:hAnsi="楷体_GB2312" w:eastAsia="楷体_GB2312" w:cs="楷体_GB2312"/>
          <w:b w:val="0"/>
          <w:bCs w:val="0"/>
          <w:sz w:val="32"/>
          <w:szCs w:val="32"/>
        </w:rPr>
      </w:pPr>
      <w:bookmarkStart w:id="13" w:name="_Toc28339"/>
      <w:bookmarkStart w:id="14" w:name="_Toc16899"/>
      <w:bookmarkStart w:id="15" w:name="_Toc29250"/>
      <w:r>
        <w:rPr>
          <w:rFonts w:hint="eastAsia" w:ascii="楷体_GB2312" w:hAnsi="楷体_GB2312" w:eastAsia="楷体_GB2312" w:cs="楷体_GB2312"/>
          <w:b w:val="0"/>
          <w:bCs w:val="0"/>
          <w:sz w:val="32"/>
          <w:szCs w:val="32"/>
        </w:rPr>
        <w:t>（一）范围</w:t>
      </w:r>
      <w:bookmarkEnd w:id="13"/>
      <w:bookmarkEnd w:id="14"/>
      <w:bookmarkEnd w:id="15"/>
    </w:p>
    <w:p w14:paraId="45981BAE">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rPr>
      </w:pPr>
      <w:bookmarkStart w:id="16" w:name="_Toc16718"/>
      <w:bookmarkStart w:id="17" w:name="_Toc10501"/>
      <w:r>
        <w:rPr>
          <w:rFonts w:hint="eastAsia" w:ascii="仿宋_GB2312" w:hAnsi="仿宋_GB2312" w:eastAsia="仿宋_GB2312" w:cs="仿宋_GB2312"/>
          <w:kern w:val="2"/>
          <w:sz w:val="32"/>
          <w:szCs w:val="32"/>
        </w:rPr>
        <w:t>本文件规定了</w:t>
      </w:r>
      <w:r>
        <w:rPr>
          <w:rFonts w:hint="eastAsia" w:ascii="仿宋_GB2312" w:hAnsi="仿宋_GB2312" w:eastAsia="仿宋_GB2312" w:cs="仿宋_GB2312"/>
          <w:kern w:val="2"/>
          <w:sz w:val="32"/>
          <w:szCs w:val="32"/>
          <w:highlight w:val="none"/>
        </w:rPr>
        <w:t>著作权类案件商事调解服务的基本原则、商事调解组织、商事调解员、调解程序要求</w:t>
      </w:r>
      <w:r>
        <w:rPr>
          <w:rFonts w:hint="eastAsia" w:ascii="仿宋_GB2312" w:hAnsi="仿宋_GB2312" w:eastAsia="仿宋_GB2312" w:cs="仿宋_GB2312"/>
          <w:kern w:val="2"/>
          <w:sz w:val="32"/>
          <w:szCs w:val="32"/>
          <w:highlight w:val="none"/>
          <w:lang w:eastAsia="zh-CN"/>
        </w:rPr>
        <w:t>等内容</w:t>
      </w:r>
      <w:r>
        <w:rPr>
          <w:rFonts w:hint="eastAsia" w:ascii="仿宋_GB2312" w:hAnsi="仿宋_GB2312" w:eastAsia="仿宋_GB2312" w:cs="仿宋_GB2312"/>
          <w:kern w:val="2"/>
          <w:sz w:val="32"/>
          <w:szCs w:val="32"/>
        </w:rPr>
        <w:t>。</w:t>
      </w:r>
    </w:p>
    <w:p w14:paraId="2E88C7D5">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本文件适用于</w:t>
      </w:r>
      <w:r>
        <w:rPr>
          <w:rFonts w:hint="eastAsia" w:ascii="仿宋_GB2312" w:hAnsi="仿宋_GB2312" w:eastAsia="仿宋_GB2312" w:cs="仿宋_GB2312"/>
          <w:kern w:val="2"/>
          <w:sz w:val="32"/>
          <w:szCs w:val="32"/>
          <w:highlight w:val="none"/>
        </w:rPr>
        <w:t>商事调解中著作权类案件的服务规范</w:t>
      </w:r>
      <w:r>
        <w:rPr>
          <w:rFonts w:hint="eastAsia" w:ascii="仿宋_GB2312" w:hAnsi="仿宋_GB2312" w:eastAsia="仿宋_GB2312" w:cs="仿宋_GB2312"/>
          <w:kern w:val="2"/>
          <w:sz w:val="32"/>
          <w:szCs w:val="32"/>
        </w:rPr>
        <w:t>。</w:t>
      </w:r>
    </w:p>
    <w:p w14:paraId="63366B1E">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both"/>
        <w:textAlignment w:val="auto"/>
        <w:rPr>
          <w:rFonts w:hint="eastAsia" w:ascii="楷体_GB2312" w:hAnsi="楷体_GB2312" w:eastAsia="楷体_GB2312" w:cs="楷体_GB2312"/>
          <w:b w:val="0"/>
          <w:bCs w:val="0"/>
          <w:sz w:val="32"/>
          <w:szCs w:val="32"/>
        </w:rPr>
      </w:pPr>
      <w:bookmarkStart w:id="18" w:name="_Toc32736"/>
      <w:r>
        <w:rPr>
          <w:rFonts w:hint="eastAsia" w:ascii="楷体_GB2312" w:hAnsi="楷体_GB2312" w:eastAsia="楷体_GB2312" w:cs="楷体_GB2312"/>
          <w:b w:val="0"/>
          <w:bCs w:val="0"/>
          <w:sz w:val="32"/>
          <w:szCs w:val="32"/>
        </w:rPr>
        <w:t>（二）规范性引用文件</w:t>
      </w:r>
      <w:bookmarkEnd w:id="16"/>
      <w:bookmarkEnd w:id="17"/>
      <w:bookmarkEnd w:id="18"/>
    </w:p>
    <w:p w14:paraId="354682CF">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标准条文阐述了标准中引用的有关文件，表明</w:t>
      </w:r>
      <w:r>
        <w:rPr>
          <w:rFonts w:hint="eastAsia" w:ascii="仿宋_GB2312" w:hAnsi="仿宋_GB2312" w:eastAsia="仿宋_GB2312" w:cs="仿宋_GB2312"/>
          <w:kern w:val="2"/>
          <w:sz w:val="32"/>
          <w:szCs w:val="32"/>
          <w:lang w:eastAsia="zh-CN"/>
        </w:rPr>
        <w:t>本文件</w:t>
      </w:r>
      <w:r>
        <w:rPr>
          <w:rFonts w:hint="eastAsia" w:ascii="仿宋_GB2312" w:hAnsi="仿宋_GB2312" w:eastAsia="仿宋_GB2312" w:cs="仿宋_GB2312"/>
          <w:kern w:val="2"/>
          <w:sz w:val="32"/>
          <w:szCs w:val="32"/>
        </w:rPr>
        <w:t>部分内容的引用来源和依据。</w:t>
      </w:r>
    </w:p>
    <w:p w14:paraId="6DA69591">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引用文件如下：</w:t>
      </w:r>
    </w:p>
    <w:p w14:paraId="05EC33D8">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color w:val="auto"/>
          <w:kern w:val="2"/>
          <w:sz w:val="32"/>
          <w:szCs w:val="32"/>
        </w:rPr>
      </w:pPr>
      <w:bookmarkStart w:id="19" w:name="_Toc9496"/>
      <w:r>
        <w:rPr>
          <w:rFonts w:hint="eastAsia" w:ascii="仿宋_GB2312" w:hAnsi="仿宋_GB2312" w:eastAsia="仿宋_GB2312" w:cs="仿宋_GB2312"/>
          <w:color w:val="auto"/>
          <w:kern w:val="2"/>
          <w:sz w:val="32"/>
          <w:szCs w:val="32"/>
        </w:rPr>
        <w:t xml:space="preserve">DB4403/T 432—2024 </w:t>
      </w:r>
      <w:r>
        <w:rPr>
          <w:rFonts w:hint="eastAsia" w:ascii="仿宋_GB2312" w:hAnsi="仿宋_GB2312" w:eastAsia="仿宋_GB2312" w:cs="仿宋_GB2312"/>
          <w:color w:val="auto"/>
          <w:kern w:val="2"/>
          <w:sz w:val="32"/>
          <w:szCs w:val="32"/>
          <w:lang w:val="en-US" w:eastAsia="zh-CN"/>
        </w:rPr>
        <w:t xml:space="preserve"> </w:t>
      </w:r>
      <w:r>
        <w:rPr>
          <w:rFonts w:hint="eastAsia" w:ascii="仿宋_GB2312" w:hAnsi="仿宋_GB2312" w:eastAsia="仿宋_GB2312" w:cs="仿宋_GB2312"/>
          <w:color w:val="auto"/>
          <w:kern w:val="2"/>
          <w:sz w:val="32"/>
          <w:szCs w:val="32"/>
        </w:rPr>
        <w:t>知识产权纠纷中立评估指南</w:t>
      </w:r>
    </w:p>
    <w:p w14:paraId="325B9800">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 xml:space="preserve">T/SZS 4088—2024 </w:t>
      </w:r>
      <w:r>
        <w:rPr>
          <w:rFonts w:hint="eastAsia" w:ascii="仿宋_GB2312" w:hAnsi="仿宋_GB2312" w:eastAsia="仿宋_GB2312" w:cs="仿宋_GB2312"/>
          <w:color w:val="auto"/>
          <w:kern w:val="2"/>
          <w:sz w:val="32"/>
          <w:szCs w:val="32"/>
          <w:lang w:val="en-US" w:eastAsia="zh-CN"/>
        </w:rPr>
        <w:t xml:space="preserve"> </w:t>
      </w:r>
      <w:r>
        <w:rPr>
          <w:rFonts w:hint="eastAsia" w:ascii="仿宋_GB2312" w:hAnsi="仿宋_GB2312" w:eastAsia="仿宋_GB2312" w:cs="仿宋_GB2312"/>
          <w:color w:val="auto"/>
          <w:kern w:val="2"/>
          <w:sz w:val="32"/>
          <w:szCs w:val="32"/>
        </w:rPr>
        <w:t>商事调解工作规范</w:t>
      </w:r>
    </w:p>
    <w:p w14:paraId="240A537E">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both"/>
        <w:textAlignment w:val="auto"/>
        <w:rPr>
          <w:rFonts w:hint="eastAsia" w:ascii="楷体_GB2312" w:hAnsi="楷体_GB2312" w:eastAsia="楷体_GB2312" w:cs="楷体_GB2312"/>
          <w:b w:val="0"/>
          <w:bCs w:val="0"/>
          <w:sz w:val="32"/>
          <w:szCs w:val="32"/>
        </w:rPr>
      </w:pPr>
      <w:bookmarkStart w:id="20" w:name="_Toc14975"/>
      <w:r>
        <w:rPr>
          <w:rFonts w:hint="eastAsia" w:ascii="楷体_GB2312" w:hAnsi="楷体_GB2312" w:eastAsia="楷体_GB2312" w:cs="楷体_GB2312"/>
          <w:b w:val="0"/>
          <w:bCs w:val="0"/>
          <w:sz w:val="32"/>
          <w:szCs w:val="32"/>
        </w:rPr>
        <w:t>（三）术语和定义</w:t>
      </w:r>
      <w:bookmarkEnd w:id="19"/>
      <w:bookmarkEnd w:id="20"/>
    </w:p>
    <w:p w14:paraId="6C2F4C35">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标准对“</w:t>
      </w:r>
      <w:r>
        <w:rPr>
          <w:rFonts w:hint="eastAsia" w:ascii="仿宋_GB2312" w:hAnsi="仿宋_GB2312" w:eastAsia="仿宋_GB2312" w:cs="仿宋_GB2312"/>
          <w:kern w:val="2"/>
          <w:sz w:val="32"/>
          <w:szCs w:val="32"/>
          <w:lang w:val="en-US" w:eastAsia="zh-CN"/>
        </w:rPr>
        <w:t>著作权”“著作权纠纷”“中立评估</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等</w:t>
      </w:r>
      <w:r>
        <w:rPr>
          <w:rFonts w:hint="eastAsia" w:ascii="仿宋_GB2312" w:hAnsi="仿宋_GB2312" w:eastAsia="仿宋_GB2312" w:cs="仿宋_GB2312"/>
          <w:kern w:val="2"/>
          <w:sz w:val="32"/>
          <w:szCs w:val="32"/>
        </w:rPr>
        <w:t>关键术语进行定义，其中：</w:t>
      </w:r>
    </w:p>
    <w:p w14:paraId="3DEA4824">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val="en-US" w:eastAsia="zh-CN"/>
        </w:rPr>
        <w:t>著作权，</w:t>
      </w:r>
      <w:r>
        <w:rPr>
          <w:rFonts w:hint="eastAsia" w:ascii="仿宋_GB2312" w:hAnsi="仿宋_GB2312" w:eastAsia="仿宋_GB2312" w:cs="仿宋_GB2312"/>
          <w:kern w:val="2"/>
          <w:sz w:val="32"/>
          <w:szCs w:val="32"/>
        </w:rPr>
        <w:t>又称版权，</w:t>
      </w:r>
      <w:r>
        <w:rPr>
          <w:rFonts w:hint="eastAsia" w:ascii="仿宋_GB2312" w:hAnsi="仿宋_GB2312" w:eastAsia="仿宋_GB2312" w:cs="仿宋_GB2312"/>
          <w:kern w:val="2"/>
          <w:sz w:val="32"/>
          <w:szCs w:val="32"/>
          <w:lang w:val="en-US" w:eastAsia="zh-CN"/>
        </w:rPr>
        <w:t>指</w:t>
      </w:r>
      <w:r>
        <w:rPr>
          <w:rFonts w:hint="eastAsia" w:ascii="仿宋_GB2312" w:hAnsi="仿宋_GB2312" w:eastAsia="仿宋_GB2312" w:cs="仿宋_GB2312"/>
          <w:kern w:val="2"/>
          <w:sz w:val="32"/>
          <w:szCs w:val="32"/>
        </w:rPr>
        <w:t>文学、艺术、社会科学、工程技术等作品的作者依法享有的对作品及相关客体的专有权利</w:t>
      </w:r>
      <w:r>
        <w:rPr>
          <w:rFonts w:hint="eastAsia" w:ascii="仿宋_GB2312" w:hAnsi="仿宋_GB2312" w:eastAsia="仿宋_GB2312" w:cs="仿宋_GB2312"/>
          <w:kern w:val="2"/>
          <w:sz w:val="32"/>
          <w:szCs w:val="32"/>
          <w:lang w:eastAsia="zh-CN"/>
        </w:rPr>
        <w:t>。</w:t>
      </w:r>
    </w:p>
    <w:p w14:paraId="1B0D076B">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著作权纠纷，指著作权的产生、行使、保护等过程中，商事调解当事人之间因著作权的归属、行使、侵权等问题而产生的争议。</w:t>
      </w:r>
    </w:p>
    <w:p w14:paraId="7E7AA894">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中立评估，指由具有专业评估能力的第三方专业机构或专业人员就争议事实认定、法律适用及处理结果等进行评估并出具评估报告的活动。[来源：DB4403/T 432—2024,3.1，有修改]</w:t>
      </w:r>
    </w:p>
    <w:p w14:paraId="1886434B">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both"/>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（四）基本</w:t>
      </w:r>
      <w:r>
        <w:rPr>
          <w:rFonts w:hint="eastAsia" w:ascii="楷体_GB2312" w:hAnsi="楷体_GB2312" w:eastAsia="楷体_GB2312" w:cs="楷体_GB2312"/>
          <w:b w:val="0"/>
          <w:bCs w:val="0"/>
          <w:sz w:val="32"/>
          <w:szCs w:val="32"/>
          <w:lang w:val="en-US" w:eastAsia="zh-CN"/>
        </w:rPr>
        <w:t>原则</w:t>
      </w:r>
    </w:p>
    <w:p w14:paraId="3468329B">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rPr>
        <w:t>本部分包含标准编制的</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自愿原则”“平等原则”“保密原则”“中立原则”“利益平衡原则”</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其中：</w:t>
      </w:r>
    </w:p>
    <w:p w14:paraId="7D2C0444">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自愿原则强调</w:t>
      </w:r>
      <w:r>
        <w:rPr>
          <w:rFonts w:hint="eastAsia" w:ascii="仿宋_GB2312" w:hAnsi="仿宋_GB2312" w:eastAsia="仿宋_GB2312" w:cs="仿宋_GB2312"/>
          <w:kern w:val="2"/>
          <w:sz w:val="32"/>
          <w:szCs w:val="32"/>
        </w:rPr>
        <w:t>商事调解组织及商事调解员应尊重商事调解当事人的意愿</w:t>
      </w:r>
      <w:r>
        <w:rPr>
          <w:rFonts w:hint="eastAsia" w:ascii="仿宋_GB2312" w:hAnsi="仿宋_GB2312" w:eastAsia="仿宋_GB2312" w:cs="仿宋_GB2312"/>
          <w:kern w:val="2"/>
          <w:sz w:val="32"/>
          <w:szCs w:val="32"/>
          <w:lang w:val="en-US" w:eastAsia="zh-CN"/>
        </w:rPr>
        <w:t>开展商事调解</w:t>
      </w:r>
      <w:r>
        <w:rPr>
          <w:rFonts w:hint="eastAsia" w:ascii="仿宋_GB2312" w:hAnsi="仿宋_GB2312" w:eastAsia="仿宋_GB2312" w:cs="仿宋_GB2312"/>
          <w:kern w:val="2"/>
          <w:sz w:val="32"/>
          <w:szCs w:val="32"/>
          <w:lang w:eastAsia="zh-CN"/>
        </w:rPr>
        <w:t>；</w:t>
      </w:r>
    </w:p>
    <w:p w14:paraId="5E0394E2">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平等原则强调</w:t>
      </w:r>
      <w:r>
        <w:rPr>
          <w:rFonts w:hint="eastAsia" w:ascii="仿宋_GB2312" w:hAnsi="仿宋_GB2312" w:eastAsia="仿宋_GB2312" w:cs="仿宋_GB2312"/>
          <w:kern w:val="2"/>
          <w:sz w:val="32"/>
          <w:szCs w:val="32"/>
        </w:rPr>
        <w:t>商事调解组织及商事调解员应平等地对待各方商事调解当事人，不得偏袒任何一方商事调解当事人</w:t>
      </w:r>
      <w:r>
        <w:rPr>
          <w:rFonts w:hint="eastAsia" w:ascii="仿宋_GB2312" w:hAnsi="仿宋_GB2312" w:eastAsia="仿宋_GB2312" w:cs="仿宋_GB2312"/>
          <w:kern w:val="2"/>
          <w:sz w:val="32"/>
          <w:szCs w:val="32"/>
          <w:lang w:eastAsia="zh-CN"/>
        </w:rPr>
        <w:t>；</w:t>
      </w:r>
    </w:p>
    <w:p w14:paraId="0062EB04">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保密原则强调</w:t>
      </w:r>
      <w:r>
        <w:rPr>
          <w:rFonts w:hint="eastAsia" w:ascii="仿宋_GB2312" w:hAnsi="仿宋_GB2312" w:eastAsia="仿宋_GB2312" w:cs="仿宋_GB2312"/>
          <w:kern w:val="2"/>
          <w:sz w:val="32"/>
          <w:szCs w:val="32"/>
        </w:rPr>
        <w:t>商事调解应以不公开为原则，以公开为例外，并符合保密要求</w:t>
      </w:r>
      <w:r>
        <w:rPr>
          <w:rFonts w:hint="eastAsia" w:ascii="仿宋_GB2312" w:hAnsi="仿宋_GB2312" w:eastAsia="仿宋_GB2312" w:cs="仿宋_GB2312"/>
          <w:kern w:val="2"/>
          <w:sz w:val="32"/>
          <w:szCs w:val="32"/>
          <w:lang w:eastAsia="zh-CN"/>
        </w:rPr>
        <w:t>；</w:t>
      </w:r>
    </w:p>
    <w:p w14:paraId="61801089">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中立原则强调</w:t>
      </w:r>
      <w:r>
        <w:rPr>
          <w:rFonts w:hint="eastAsia" w:ascii="仿宋_GB2312" w:hAnsi="仿宋_GB2312" w:eastAsia="仿宋_GB2312" w:cs="仿宋_GB2312"/>
          <w:kern w:val="2"/>
          <w:sz w:val="32"/>
          <w:szCs w:val="32"/>
        </w:rPr>
        <w:t>商事调解组织及商事调解员应保持中立，确保商事调解过程的公平公正</w:t>
      </w:r>
      <w:r>
        <w:rPr>
          <w:rFonts w:hint="eastAsia" w:ascii="仿宋_GB2312" w:hAnsi="仿宋_GB2312" w:eastAsia="仿宋_GB2312" w:cs="仿宋_GB2312"/>
          <w:kern w:val="2"/>
          <w:sz w:val="32"/>
          <w:szCs w:val="32"/>
          <w:lang w:eastAsia="zh-CN"/>
        </w:rPr>
        <w:t>；</w:t>
      </w:r>
    </w:p>
    <w:p w14:paraId="0B7195A8">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利益平衡原则强调</w:t>
      </w:r>
      <w:r>
        <w:rPr>
          <w:rFonts w:hint="eastAsia" w:ascii="仿宋_GB2312" w:hAnsi="仿宋_GB2312" w:eastAsia="仿宋_GB2312" w:cs="仿宋_GB2312"/>
          <w:kern w:val="2"/>
          <w:sz w:val="32"/>
          <w:szCs w:val="32"/>
        </w:rPr>
        <w:t>以著作权合理使用、损害赔偿为基础，在保护著作权人合法权益的同时，兼顾侵权方的合理抗辩及公共利益需求</w:t>
      </w:r>
      <w:r>
        <w:rPr>
          <w:rFonts w:hint="eastAsia" w:ascii="仿宋_GB2312" w:hAnsi="仿宋_GB2312" w:eastAsia="仿宋_GB2312" w:cs="仿宋_GB2312"/>
          <w:kern w:val="2"/>
          <w:sz w:val="32"/>
          <w:szCs w:val="32"/>
          <w:lang w:eastAsia="zh-CN"/>
        </w:rPr>
        <w:t>。</w:t>
      </w:r>
    </w:p>
    <w:p w14:paraId="6F268E5F">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both"/>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rPr>
        <w:t>（五）</w:t>
      </w:r>
      <w:r>
        <w:rPr>
          <w:rFonts w:hint="eastAsia" w:ascii="楷体_GB2312" w:hAnsi="楷体_GB2312" w:eastAsia="楷体_GB2312" w:cs="楷体_GB2312"/>
          <w:b w:val="0"/>
          <w:bCs w:val="0"/>
          <w:sz w:val="32"/>
          <w:szCs w:val="32"/>
          <w:lang w:val="en-US" w:eastAsia="zh-CN"/>
        </w:rPr>
        <w:t>商事调解组织</w:t>
      </w:r>
    </w:p>
    <w:p w14:paraId="19A461AF">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rPr>
        <w:t>本部分</w:t>
      </w:r>
      <w:r>
        <w:rPr>
          <w:rFonts w:hint="eastAsia" w:ascii="仿宋_GB2312" w:hAnsi="仿宋_GB2312" w:eastAsia="仿宋_GB2312" w:cs="仿宋_GB2312"/>
          <w:kern w:val="2"/>
          <w:sz w:val="32"/>
          <w:szCs w:val="32"/>
          <w:lang w:val="en-US" w:eastAsia="zh-CN"/>
        </w:rPr>
        <w:t>规定商事调解组织应符合</w:t>
      </w:r>
      <w:r>
        <w:rPr>
          <w:rFonts w:hint="eastAsia" w:ascii="仿宋_GB2312" w:hAnsi="仿宋_GB2312" w:eastAsia="仿宋_GB2312" w:cs="仿宋_GB2312"/>
          <w:kern w:val="2"/>
          <w:sz w:val="32"/>
          <w:szCs w:val="32"/>
        </w:rPr>
        <w:t>T/SZS 4088—2024要求</w:t>
      </w:r>
      <w:r>
        <w:rPr>
          <w:rFonts w:hint="eastAsia" w:ascii="仿宋_GB2312" w:hAnsi="仿宋_GB2312" w:eastAsia="仿宋_GB2312" w:cs="仿宋_GB2312"/>
          <w:kern w:val="2"/>
          <w:sz w:val="32"/>
          <w:szCs w:val="32"/>
          <w:lang w:val="en-US" w:eastAsia="zh-CN"/>
        </w:rPr>
        <w:t>的</w:t>
      </w:r>
      <w:r>
        <w:rPr>
          <w:rFonts w:hint="eastAsia" w:ascii="仿宋_GB2312" w:hAnsi="仿宋_GB2312" w:eastAsia="仿宋_GB2312" w:cs="仿宋_GB2312"/>
          <w:kern w:val="2"/>
          <w:sz w:val="32"/>
          <w:szCs w:val="32"/>
        </w:rPr>
        <w:t>内容。</w:t>
      </w:r>
    </w:p>
    <w:p w14:paraId="262177DE">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both"/>
        <w:textAlignment w:val="auto"/>
        <w:rPr>
          <w:rFonts w:hint="eastAsia" w:ascii="仿宋_GB2312" w:hAnsi="仿宋_GB2312" w:eastAsia="仿宋_GB2312" w:cs="仿宋_GB2312"/>
          <w:b w:val="0"/>
          <w:bCs w:val="0"/>
          <w:sz w:val="32"/>
          <w:szCs w:val="32"/>
          <w:lang w:val="en-US"/>
        </w:rPr>
      </w:pPr>
      <w:r>
        <w:rPr>
          <w:rFonts w:hint="eastAsia" w:ascii="仿宋_GB2312" w:hAnsi="仿宋_GB2312" w:eastAsia="仿宋_GB2312" w:cs="仿宋_GB2312"/>
          <w:b w:val="0"/>
          <w:bCs w:val="0"/>
          <w:sz w:val="32"/>
          <w:szCs w:val="32"/>
        </w:rPr>
        <w:t>（六）</w:t>
      </w:r>
      <w:r>
        <w:rPr>
          <w:rFonts w:hint="eastAsia" w:ascii="仿宋_GB2312" w:hAnsi="仿宋_GB2312" w:eastAsia="仿宋_GB2312" w:cs="仿宋_GB2312"/>
          <w:b w:val="0"/>
          <w:bCs w:val="0"/>
          <w:sz w:val="32"/>
          <w:szCs w:val="32"/>
          <w:lang w:val="en-US" w:eastAsia="zh-CN"/>
        </w:rPr>
        <w:t>商事调解员</w:t>
      </w:r>
    </w:p>
    <w:p w14:paraId="3ED5AD2F">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本部分</w:t>
      </w:r>
      <w:r>
        <w:rPr>
          <w:rFonts w:hint="eastAsia" w:ascii="仿宋_GB2312" w:hAnsi="仿宋_GB2312" w:eastAsia="仿宋_GB2312" w:cs="仿宋_GB2312"/>
          <w:kern w:val="2"/>
          <w:sz w:val="32"/>
          <w:szCs w:val="32"/>
          <w:lang w:val="en-US" w:eastAsia="zh-CN"/>
        </w:rPr>
        <w:t>规定</w:t>
      </w:r>
      <w:r>
        <w:rPr>
          <w:rFonts w:hint="eastAsia" w:ascii="仿宋_GB2312" w:hAnsi="仿宋_GB2312" w:eastAsia="仿宋_GB2312" w:cs="仿宋_GB2312"/>
          <w:kern w:val="2"/>
          <w:sz w:val="32"/>
          <w:szCs w:val="32"/>
        </w:rPr>
        <w:t>了</w:t>
      </w:r>
      <w:r>
        <w:rPr>
          <w:rFonts w:hint="eastAsia" w:ascii="仿宋_GB2312" w:hAnsi="仿宋_GB2312" w:eastAsia="仿宋_GB2312" w:cs="仿宋_GB2312"/>
          <w:kern w:val="2"/>
          <w:sz w:val="32"/>
          <w:szCs w:val="32"/>
          <w:lang w:val="en-US" w:eastAsia="zh-CN"/>
        </w:rPr>
        <w:t>商事调解员应符合T/SZS 4088—2024要求。著作权类案件商事调解中，商事调解员应为相关技术领域的专家或知识产权法专家，具备著作权相关经验与跨学科的知识储备，了解前沿技术应用，具备法律、技术、产业等复合型专业能力。</w:t>
      </w:r>
    </w:p>
    <w:p w14:paraId="7BC94065">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both"/>
        <w:textAlignment w:val="auto"/>
        <w:rPr>
          <w:rFonts w:hint="eastAsia" w:ascii="楷体_GB2312" w:hAnsi="楷体_GB2312" w:eastAsia="楷体_GB2312" w:cs="楷体_GB2312"/>
          <w:b w:val="0"/>
          <w:bCs w:val="0"/>
          <w:sz w:val="32"/>
          <w:szCs w:val="32"/>
          <w:lang w:val="en-US" w:eastAsia="zh-CN"/>
        </w:rPr>
      </w:pPr>
      <w:bookmarkStart w:id="21" w:name="_Toc23336"/>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lang w:val="en-US" w:eastAsia="zh-CN"/>
        </w:rPr>
        <w:t>七</w:t>
      </w:r>
      <w:r>
        <w:rPr>
          <w:rFonts w:hint="eastAsia" w:ascii="楷体_GB2312" w:hAnsi="楷体_GB2312" w:eastAsia="楷体_GB2312" w:cs="楷体_GB2312"/>
          <w:b w:val="0"/>
          <w:bCs w:val="0"/>
          <w:sz w:val="32"/>
          <w:szCs w:val="32"/>
          <w:lang w:eastAsia="zh-CN"/>
        </w:rPr>
        <w:t>）</w:t>
      </w:r>
      <w:bookmarkEnd w:id="21"/>
      <w:r>
        <w:rPr>
          <w:rFonts w:hint="eastAsia" w:ascii="楷体_GB2312" w:hAnsi="楷体_GB2312" w:eastAsia="楷体_GB2312" w:cs="楷体_GB2312"/>
          <w:b w:val="0"/>
          <w:bCs w:val="0"/>
          <w:sz w:val="32"/>
          <w:szCs w:val="32"/>
          <w:lang w:val="en-US" w:eastAsia="zh-CN"/>
        </w:rPr>
        <w:t>调解程序要求</w:t>
      </w:r>
    </w:p>
    <w:p w14:paraId="1C640D0D">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本部分描述了著作权类案件商事调解工作流程应符合T/SZS 4088—2024要求，并且对调解准备、实施调解、达成调解协议、案件回访、卷宗归档等主要调解程序要求作出了详细的规定。</w:t>
      </w:r>
    </w:p>
    <w:p w14:paraId="2AE1E2E0">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both"/>
        <w:textAlignment w:val="auto"/>
        <w:rPr>
          <w:rFonts w:hint="eastAsia" w:ascii="楷体_GB2312" w:hAnsi="楷体_GB2312" w:eastAsia="楷体_GB2312" w:cs="楷体_GB2312"/>
          <w:b w:val="0"/>
          <w:bCs w:val="0"/>
          <w:sz w:val="32"/>
          <w:szCs w:val="32"/>
          <w:lang w:val="en-US" w:eastAsia="zh-CN"/>
        </w:rPr>
      </w:pPr>
      <w:bookmarkStart w:id="22" w:name="_Toc5556"/>
      <w:r>
        <w:rPr>
          <w:rFonts w:hint="eastAsia" w:ascii="楷体_GB2312" w:hAnsi="楷体_GB2312" w:eastAsia="楷体_GB2312" w:cs="楷体_GB2312"/>
          <w:b w:val="0"/>
          <w:bCs w:val="0"/>
          <w:sz w:val="32"/>
          <w:szCs w:val="32"/>
          <w:lang w:val="en-US" w:eastAsia="zh-CN"/>
        </w:rPr>
        <w:t>（八）</w:t>
      </w:r>
      <w:bookmarkEnd w:id="22"/>
      <w:bookmarkStart w:id="23" w:name="_Toc6137"/>
      <w:bookmarkStart w:id="24" w:name="_Toc20160"/>
      <w:r>
        <w:rPr>
          <w:rFonts w:hint="eastAsia" w:ascii="楷体_GB2312" w:hAnsi="楷体_GB2312" w:eastAsia="楷体_GB2312" w:cs="楷体_GB2312"/>
          <w:b w:val="0"/>
          <w:bCs w:val="0"/>
          <w:sz w:val="32"/>
          <w:szCs w:val="32"/>
          <w:lang w:val="en-US" w:eastAsia="zh-CN"/>
        </w:rPr>
        <w:t>附录</w:t>
      </w:r>
      <w:bookmarkEnd w:id="23"/>
      <w:bookmarkEnd w:id="24"/>
    </w:p>
    <w:p w14:paraId="7FFAD419">
      <w:pPr>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附录</w:t>
      </w:r>
      <w:r>
        <w:rPr>
          <w:rFonts w:hint="eastAsia" w:ascii="仿宋_GB2312" w:hAnsi="仿宋_GB2312" w:eastAsia="仿宋_GB2312" w:cs="仿宋_GB2312"/>
          <w:sz w:val="32"/>
          <w:szCs w:val="32"/>
          <w:lang w:val="en-US" w:eastAsia="zh-CN"/>
        </w:rPr>
        <w:t>A</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资料</w:t>
      </w:r>
      <w:r>
        <w:rPr>
          <w:rFonts w:hint="eastAsia" w:ascii="仿宋_GB2312" w:hAnsi="仿宋_GB2312" w:eastAsia="仿宋_GB2312" w:cs="仿宋_GB2312"/>
          <w:sz w:val="32"/>
          <w:szCs w:val="32"/>
        </w:rPr>
        <w:t>性附录，提供了</w:t>
      </w:r>
      <w:r>
        <w:rPr>
          <w:rFonts w:hint="eastAsia" w:ascii="仿宋_GB2312" w:hAnsi="仿宋_GB2312" w:eastAsia="仿宋_GB2312" w:cs="仿宋_GB2312"/>
          <w:sz w:val="32"/>
          <w:szCs w:val="32"/>
          <w:lang w:val="en-US" w:eastAsia="zh-CN"/>
        </w:rPr>
        <w:t>著作权权属、侵权纠纷调解要素记录表；</w:t>
      </w:r>
    </w:p>
    <w:p w14:paraId="63DB39E4">
      <w:pPr>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附录B为资料性附录，提供了著作权合同纠纷调解要素记录表；</w:t>
      </w:r>
    </w:p>
    <w:p w14:paraId="4D6EC7C8">
      <w:pPr>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附录C为资料性附录，提供了著作权构成要素。</w:t>
      </w:r>
    </w:p>
    <w:p w14:paraId="6761773C">
      <w:pPr>
        <w:pStyle w:val="2"/>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76" w:lineRule="exact"/>
        <w:ind w:left="0" w:firstLine="640" w:firstLineChars="200"/>
        <w:jc w:val="both"/>
        <w:textAlignment w:val="auto"/>
        <w:rPr>
          <w:rFonts w:hint="eastAsia" w:ascii="黑体" w:hAnsi="黑体" w:eastAsia="黑体" w:cs="黑体"/>
          <w:b w:val="0"/>
          <w:bCs w:val="0"/>
          <w:sz w:val="32"/>
          <w:szCs w:val="32"/>
          <w:lang w:val="en-US" w:eastAsia="zh-CN"/>
        </w:rPr>
      </w:pPr>
      <w:bookmarkStart w:id="25" w:name="_Toc8540"/>
      <w:bookmarkStart w:id="26" w:name="_Toc27820"/>
      <w:bookmarkStart w:id="27" w:name="_Toc26461"/>
      <w:r>
        <w:rPr>
          <w:rFonts w:hint="eastAsia" w:ascii="黑体" w:hAnsi="黑体" w:eastAsia="黑体" w:cs="黑体"/>
          <w:b w:val="0"/>
          <w:bCs w:val="0"/>
          <w:sz w:val="32"/>
          <w:szCs w:val="32"/>
          <w:lang w:val="en-US" w:eastAsia="zh-CN"/>
        </w:rPr>
        <w:t>标准编制的意义</w:t>
      </w:r>
      <w:bookmarkEnd w:id="25"/>
      <w:bookmarkEnd w:id="26"/>
      <w:bookmarkEnd w:id="27"/>
    </w:p>
    <w:p w14:paraId="70D617C5">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both"/>
        <w:textAlignment w:val="auto"/>
        <w:rPr>
          <w:rFonts w:hint="eastAsia" w:ascii="楷体_GB2312" w:hAnsi="楷体_GB2312" w:eastAsia="楷体_GB2312" w:cs="楷体_GB2312"/>
          <w:b w:val="0"/>
          <w:bCs w:val="0"/>
          <w:sz w:val="32"/>
          <w:szCs w:val="32"/>
        </w:rPr>
      </w:pPr>
      <w:bookmarkStart w:id="28" w:name="_Toc461"/>
      <w:bookmarkStart w:id="29" w:name="_Toc3064"/>
      <w:bookmarkStart w:id="30" w:name="_Toc29389"/>
      <w:bookmarkStart w:id="31" w:name="_Toc438395922"/>
      <w:r>
        <w:rPr>
          <w:rFonts w:hint="eastAsia" w:ascii="楷体_GB2312" w:hAnsi="楷体_GB2312" w:eastAsia="楷体_GB2312" w:cs="楷体_GB2312"/>
          <w:b w:val="0"/>
          <w:bCs w:val="0"/>
          <w:sz w:val="32"/>
          <w:szCs w:val="32"/>
        </w:rPr>
        <w:t>（一）标准编制的社会意义</w:t>
      </w:r>
      <w:bookmarkEnd w:id="28"/>
      <w:bookmarkEnd w:id="29"/>
      <w:bookmarkEnd w:id="30"/>
    </w:p>
    <w:p w14:paraId="6727F146">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lang w:eastAsia="zh-CN"/>
        </w:rPr>
        <w:t>本文件</w:t>
      </w:r>
      <w:r>
        <w:rPr>
          <w:rFonts w:hint="eastAsia" w:ascii="仿宋_GB2312" w:hAnsi="仿宋_GB2312" w:eastAsia="仿宋_GB2312" w:cs="仿宋_GB2312"/>
          <w:kern w:val="2"/>
          <w:sz w:val="32"/>
          <w:szCs w:val="32"/>
          <w:highlight w:val="none"/>
          <w:lang w:val="en-US" w:eastAsia="zh-CN"/>
        </w:rPr>
        <w:t>的编制</w:t>
      </w:r>
      <w:r>
        <w:rPr>
          <w:rFonts w:hint="eastAsia" w:ascii="仿宋_GB2312" w:hAnsi="仿宋_GB2312" w:eastAsia="仿宋_GB2312" w:cs="仿宋_GB2312"/>
          <w:b w:val="0"/>
          <w:bCs w:val="0"/>
          <w:color w:val="auto"/>
          <w:kern w:val="2"/>
          <w:sz w:val="32"/>
          <w:szCs w:val="32"/>
          <w:highlight w:val="none"/>
          <w:lang w:val="en-US" w:eastAsia="zh-CN"/>
        </w:rPr>
        <w:t>将形成覆盖著作权类案件全生命周期的调解框架，通过案件回访、协议履行监督等闭环设计，持续优化纠纷解决质量，减少纠纷反复，提升调解结果的权威性和社会信任度，逐步替代部分诉讼需求，优化司法资源配置。同时，标准化流程与法律、行业惯例的深度结合，有助于建立稳定、可预测的调解模式。</w:t>
      </w:r>
    </w:p>
    <w:p w14:paraId="735DD2AC">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both"/>
        <w:textAlignment w:val="auto"/>
        <w:rPr>
          <w:rFonts w:hint="eastAsia" w:ascii="楷体_GB2312" w:hAnsi="楷体_GB2312" w:eastAsia="楷体_GB2312" w:cs="楷体_GB2312"/>
          <w:b w:val="0"/>
          <w:bCs w:val="0"/>
          <w:sz w:val="32"/>
          <w:szCs w:val="32"/>
        </w:rPr>
      </w:pPr>
      <w:bookmarkStart w:id="32" w:name="_Toc12057"/>
      <w:bookmarkStart w:id="33" w:name="_Toc17181"/>
      <w:bookmarkStart w:id="34" w:name="_Toc13192"/>
      <w:r>
        <w:rPr>
          <w:rFonts w:hint="eastAsia" w:ascii="楷体_GB2312" w:hAnsi="楷体_GB2312" w:eastAsia="楷体_GB2312" w:cs="楷体_GB2312"/>
          <w:b w:val="0"/>
          <w:bCs w:val="0"/>
          <w:sz w:val="32"/>
          <w:szCs w:val="32"/>
        </w:rPr>
        <w:t>（二）标准编制的经济意义</w:t>
      </w:r>
      <w:bookmarkEnd w:id="32"/>
      <w:bookmarkEnd w:id="33"/>
      <w:bookmarkEnd w:id="34"/>
    </w:p>
    <w:p w14:paraId="7E0A9467">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rPr>
        <w:t>长期将促进法律刚性与商业灵活性的动态平衡，形成适应市场变化的调解模式。调解结果对类案裁判的参考价值积累，可能反向推动司法裁判标准的优化，实现法律规则与商业实践的相互完善与协同发展，推动版权相关行业规范化发展，助力深圳打造法治化营商环境。</w:t>
      </w:r>
    </w:p>
    <w:bookmarkEnd w:id="31"/>
    <w:p w14:paraId="0D6DEA13">
      <w:pPr>
        <w:pStyle w:val="2"/>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76" w:lineRule="exact"/>
        <w:ind w:left="0" w:firstLine="640" w:firstLineChars="200"/>
        <w:jc w:val="both"/>
        <w:textAlignment w:val="auto"/>
        <w:rPr>
          <w:rFonts w:hint="eastAsia" w:ascii="黑体" w:hAnsi="黑体" w:eastAsia="黑体" w:cs="黑体"/>
          <w:b w:val="0"/>
          <w:bCs w:val="0"/>
          <w:sz w:val="32"/>
          <w:szCs w:val="32"/>
          <w:lang w:val="en-US" w:eastAsia="zh-CN"/>
        </w:rPr>
      </w:pPr>
      <w:bookmarkStart w:id="35" w:name="_Toc21745"/>
      <w:bookmarkStart w:id="36" w:name="_Toc15377"/>
      <w:bookmarkStart w:id="37" w:name="_Toc23851"/>
      <w:r>
        <w:rPr>
          <w:rFonts w:hint="eastAsia" w:ascii="黑体" w:hAnsi="黑体" w:eastAsia="黑体" w:cs="黑体"/>
          <w:b w:val="0"/>
          <w:bCs w:val="0"/>
          <w:sz w:val="32"/>
          <w:szCs w:val="32"/>
          <w:lang w:val="en-US" w:eastAsia="zh-CN"/>
        </w:rPr>
        <w:t>主要试验（验证）的分析</w:t>
      </w:r>
      <w:bookmarkEnd w:id="35"/>
      <w:bookmarkEnd w:id="36"/>
      <w:bookmarkEnd w:id="37"/>
    </w:p>
    <w:p w14:paraId="6E57F921">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无。</w:t>
      </w:r>
    </w:p>
    <w:p w14:paraId="798CFC6B">
      <w:pPr>
        <w:pStyle w:val="2"/>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76" w:lineRule="exact"/>
        <w:ind w:left="0" w:firstLine="640" w:firstLineChars="200"/>
        <w:jc w:val="both"/>
        <w:textAlignment w:val="auto"/>
        <w:rPr>
          <w:rFonts w:hint="eastAsia" w:ascii="黑体" w:hAnsi="黑体" w:eastAsia="黑体" w:cs="黑体"/>
          <w:b w:val="0"/>
          <w:bCs w:val="0"/>
          <w:sz w:val="32"/>
          <w:szCs w:val="32"/>
          <w:lang w:val="en-US" w:eastAsia="zh-CN"/>
        </w:rPr>
      </w:pPr>
      <w:bookmarkStart w:id="38" w:name="_Toc30339"/>
      <w:bookmarkStart w:id="39" w:name="_Toc11579"/>
      <w:bookmarkStart w:id="40" w:name="_Toc25878"/>
      <w:r>
        <w:rPr>
          <w:rFonts w:hint="eastAsia" w:ascii="黑体" w:hAnsi="黑体" w:eastAsia="黑体" w:cs="黑体"/>
          <w:b w:val="0"/>
          <w:bCs w:val="0"/>
          <w:sz w:val="32"/>
          <w:szCs w:val="32"/>
          <w:lang w:val="en-US" w:eastAsia="zh-CN"/>
        </w:rPr>
        <w:t>采用国际标准和国内标准情况</w:t>
      </w:r>
      <w:bookmarkEnd w:id="38"/>
      <w:bookmarkEnd w:id="39"/>
      <w:bookmarkEnd w:id="40"/>
    </w:p>
    <w:p w14:paraId="272557B4">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val="en-US" w:eastAsia="zh-CN"/>
        </w:rPr>
        <w:t>无</w:t>
      </w:r>
      <w:r>
        <w:rPr>
          <w:rFonts w:hint="eastAsia" w:ascii="仿宋_GB2312" w:hAnsi="仿宋_GB2312" w:eastAsia="仿宋_GB2312" w:cs="仿宋_GB2312"/>
          <w:kern w:val="2"/>
          <w:sz w:val="32"/>
          <w:szCs w:val="32"/>
          <w:lang w:eastAsia="zh-CN"/>
        </w:rPr>
        <w:t>。</w:t>
      </w:r>
    </w:p>
    <w:p w14:paraId="0B627B05">
      <w:pPr>
        <w:pStyle w:val="2"/>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76" w:lineRule="exact"/>
        <w:ind w:left="0" w:firstLine="640" w:firstLineChars="200"/>
        <w:jc w:val="both"/>
        <w:textAlignment w:val="auto"/>
        <w:rPr>
          <w:rFonts w:hint="eastAsia" w:ascii="黑体" w:hAnsi="黑体" w:eastAsia="黑体" w:cs="黑体"/>
          <w:b w:val="0"/>
          <w:bCs w:val="0"/>
          <w:sz w:val="32"/>
          <w:szCs w:val="32"/>
          <w:lang w:val="en-US" w:eastAsia="zh-CN"/>
        </w:rPr>
      </w:pPr>
      <w:bookmarkStart w:id="41" w:name="_Toc20212"/>
      <w:bookmarkStart w:id="42" w:name="_Toc28241"/>
      <w:bookmarkStart w:id="43" w:name="_Toc3154"/>
      <w:r>
        <w:rPr>
          <w:rFonts w:hint="eastAsia" w:ascii="黑体" w:hAnsi="黑体" w:eastAsia="黑体" w:cs="黑体"/>
          <w:b w:val="0"/>
          <w:bCs w:val="0"/>
          <w:sz w:val="32"/>
          <w:szCs w:val="32"/>
          <w:lang w:val="en-US" w:eastAsia="zh-CN"/>
        </w:rPr>
        <w:t>团体标准的先进性说明</w:t>
      </w:r>
      <w:bookmarkEnd w:id="41"/>
      <w:bookmarkEnd w:id="42"/>
      <w:bookmarkEnd w:id="43"/>
    </w:p>
    <w:p w14:paraId="3F1C6012">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rPr>
        <w:t>目前</w:t>
      </w:r>
      <w:r>
        <w:rPr>
          <w:rFonts w:hint="eastAsia" w:ascii="仿宋_GB2312" w:hAnsi="仿宋_GB2312" w:eastAsia="仿宋_GB2312" w:cs="仿宋_GB2312"/>
          <w:kern w:val="2"/>
          <w:sz w:val="32"/>
          <w:szCs w:val="32"/>
          <w:highlight w:val="none"/>
          <w:lang w:eastAsia="zh-CN"/>
        </w:rPr>
        <w:t>，国际上关于著作权纠纷调解服务的规范尚属空白，无论是境外还是国内，均未制定专门针对著作权纠纷案件的商事调解服务标准。国际层面，现有规定主要集中在知识产权的宏观领域，尚未细化至著作权纠纷调解服务的具体规范；国内方面，也未出台针对该领域的国家标准、地方标准或团体标准。</w:t>
      </w:r>
    </w:p>
    <w:p w14:paraId="448F483C">
      <w:pPr>
        <w:pStyle w:val="14"/>
        <w:keepNext w:val="0"/>
        <w:keepLines w:val="0"/>
        <w:pageBreakBefore w:val="0"/>
        <w:widowControl w:val="0"/>
        <w:kinsoku/>
        <w:wordWrap/>
        <w:overflowPunct/>
        <w:topLinePunct w:val="0"/>
        <w:bidi w:val="0"/>
        <w:adjustRightInd/>
        <w:snapToGrid/>
        <w:spacing w:line="576" w:lineRule="exact"/>
        <w:ind w:left="0" w:firstLine="64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lang w:eastAsia="zh-CN"/>
        </w:rPr>
        <w:t>本文件</w:t>
      </w:r>
      <w:r>
        <w:rPr>
          <w:rFonts w:hint="eastAsia" w:ascii="仿宋_GB2312" w:hAnsi="仿宋_GB2312" w:eastAsia="仿宋_GB2312" w:cs="仿宋_GB2312"/>
          <w:kern w:val="2"/>
          <w:sz w:val="32"/>
          <w:szCs w:val="32"/>
          <w:highlight w:val="none"/>
          <w:lang w:val="en-US" w:eastAsia="zh-CN"/>
        </w:rPr>
        <w:t>是专门针对著作权类案件的商事调解服务规范要求。本文件具备</w:t>
      </w:r>
      <w:r>
        <w:rPr>
          <w:rFonts w:hint="eastAsia" w:ascii="仿宋_GB2312" w:hAnsi="仿宋_GB2312" w:eastAsia="仿宋_GB2312" w:cs="仿宋_GB2312"/>
          <w:kern w:val="2"/>
          <w:sz w:val="32"/>
          <w:szCs w:val="32"/>
          <w:highlight w:val="none"/>
        </w:rPr>
        <w:t>全面性</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rPr>
        <w:t>全面覆盖了著作权类案件商事调解的全流程，从纠纷受理、调解准备、实施到协议达成与回访均设有详细规范，并针对权属、侵权及合同纠纷制定差异化调解要素记录表，同时整合法律依据、实务工具及配套文件，确保各环节操作有据可依。</w:t>
      </w:r>
      <w:r>
        <w:rPr>
          <w:rFonts w:hint="eastAsia" w:ascii="仿宋_GB2312" w:hAnsi="仿宋_GB2312" w:eastAsia="仿宋_GB2312" w:cs="仿宋_GB2312"/>
          <w:kern w:val="2"/>
          <w:sz w:val="32"/>
          <w:szCs w:val="32"/>
          <w:highlight w:val="none"/>
          <w:lang w:val="en-US" w:eastAsia="zh-CN"/>
        </w:rPr>
        <w:t>同时</w:t>
      </w:r>
      <w:r>
        <w:rPr>
          <w:rFonts w:hint="eastAsia" w:ascii="仿宋_GB2312" w:hAnsi="仿宋_GB2312" w:eastAsia="仿宋_GB2312" w:cs="仿宋_GB2312"/>
          <w:kern w:val="2"/>
          <w:sz w:val="32"/>
          <w:szCs w:val="32"/>
          <w:highlight w:val="none"/>
        </w:rPr>
        <w:t>该标准在引入中立评估、标准化流程设计和强制执行支持等方面具有创新性，为著作权类商事纠纷提供了科学、高效的调解框架，符合当前知识产权保护与商事调解发展的双重需求。</w:t>
      </w:r>
    </w:p>
    <w:p w14:paraId="67484CD0">
      <w:pPr>
        <w:pStyle w:val="2"/>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76" w:lineRule="exact"/>
        <w:ind w:left="0" w:firstLine="640" w:firstLineChars="200"/>
        <w:jc w:val="both"/>
        <w:textAlignment w:val="auto"/>
        <w:rPr>
          <w:rFonts w:hint="eastAsia" w:ascii="黑体" w:hAnsi="黑体" w:eastAsia="黑体" w:cs="黑体"/>
          <w:b w:val="0"/>
          <w:bCs w:val="0"/>
          <w:sz w:val="32"/>
          <w:szCs w:val="32"/>
          <w:lang w:val="en-US" w:eastAsia="zh-CN"/>
        </w:rPr>
      </w:pPr>
      <w:bookmarkStart w:id="44" w:name="_Toc7844"/>
      <w:bookmarkStart w:id="45" w:name="_Toc16613"/>
      <w:bookmarkStart w:id="46" w:name="_Toc28649"/>
      <w:r>
        <w:rPr>
          <w:rFonts w:hint="eastAsia" w:ascii="黑体" w:hAnsi="黑体" w:eastAsia="黑体" w:cs="黑体"/>
          <w:b w:val="0"/>
          <w:bCs w:val="0"/>
          <w:sz w:val="32"/>
          <w:szCs w:val="32"/>
          <w:lang w:val="en-US" w:eastAsia="zh-CN"/>
        </w:rPr>
        <w:t>标准涉及的相关知识产权说明</w:t>
      </w:r>
      <w:bookmarkEnd w:id="44"/>
      <w:bookmarkEnd w:id="45"/>
      <w:bookmarkEnd w:id="46"/>
    </w:p>
    <w:p w14:paraId="0BC2EAA7">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eastAsia="zh-CN"/>
        </w:rPr>
        <w:t>本文件</w:t>
      </w:r>
      <w:r>
        <w:rPr>
          <w:rFonts w:hint="eastAsia" w:ascii="仿宋_GB2312" w:hAnsi="仿宋_GB2312" w:eastAsia="仿宋_GB2312" w:cs="仿宋_GB2312"/>
          <w:kern w:val="2"/>
          <w:sz w:val="32"/>
          <w:szCs w:val="32"/>
        </w:rPr>
        <w:t>的某些内容可能直接或间接涉及专利及软件著作权，本规程的发布机构不承担识别这些专利及软件著作权的责任。</w:t>
      </w:r>
    </w:p>
    <w:p w14:paraId="23527C09">
      <w:pPr>
        <w:pStyle w:val="2"/>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76" w:lineRule="exact"/>
        <w:ind w:left="0" w:firstLine="640" w:firstLineChars="200"/>
        <w:jc w:val="both"/>
        <w:textAlignment w:val="auto"/>
        <w:rPr>
          <w:rFonts w:hint="eastAsia" w:ascii="黑体" w:hAnsi="黑体" w:eastAsia="黑体" w:cs="黑体"/>
          <w:b w:val="0"/>
          <w:bCs w:val="0"/>
          <w:sz w:val="32"/>
          <w:szCs w:val="32"/>
          <w:lang w:val="en-US" w:eastAsia="zh-CN"/>
        </w:rPr>
      </w:pPr>
      <w:bookmarkStart w:id="47" w:name="_Toc16540"/>
      <w:bookmarkStart w:id="48" w:name="_Toc21707"/>
      <w:bookmarkStart w:id="49" w:name="_Toc8487"/>
      <w:r>
        <w:rPr>
          <w:rFonts w:hint="eastAsia" w:ascii="黑体" w:hAnsi="黑体" w:eastAsia="黑体" w:cs="黑体"/>
          <w:b w:val="0"/>
          <w:bCs w:val="0"/>
          <w:sz w:val="32"/>
          <w:szCs w:val="32"/>
          <w:lang w:val="en-US" w:eastAsia="zh-CN"/>
        </w:rPr>
        <w:t>与有关的现行法律、法规和强制性国家标准的关系</w:t>
      </w:r>
      <w:bookmarkEnd w:id="47"/>
      <w:bookmarkEnd w:id="48"/>
      <w:bookmarkEnd w:id="49"/>
    </w:p>
    <w:p w14:paraId="6847D1EB">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暂</w:t>
      </w:r>
      <w:r>
        <w:rPr>
          <w:rFonts w:hint="eastAsia" w:ascii="仿宋_GB2312" w:hAnsi="仿宋_GB2312" w:eastAsia="仿宋_GB2312" w:cs="仿宋_GB2312"/>
          <w:kern w:val="2"/>
          <w:sz w:val="32"/>
          <w:szCs w:val="32"/>
        </w:rPr>
        <w:t>无。</w:t>
      </w:r>
    </w:p>
    <w:p w14:paraId="692DC15E">
      <w:pPr>
        <w:pStyle w:val="2"/>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76" w:lineRule="exact"/>
        <w:ind w:left="0" w:firstLine="640" w:firstLineChars="200"/>
        <w:jc w:val="both"/>
        <w:textAlignment w:val="auto"/>
        <w:rPr>
          <w:rFonts w:hint="eastAsia" w:ascii="黑体" w:hAnsi="黑体" w:eastAsia="黑体" w:cs="黑体"/>
          <w:b w:val="0"/>
          <w:bCs w:val="0"/>
          <w:sz w:val="32"/>
          <w:szCs w:val="32"/>
          <w:lang w:val="en-US" w:eastAsia="zh-CN"/>
        </w:rPr>
      </w:pPr>
      <w:bookmarkStart w:id="50" w:name="_Toc20502"/>
      <w:bookmarkStart w:id="51" w:name="_Toc22749"/>
      <w:bookmarkStart w:id="52" w:name="_Toc15122"/>
      <w:r>
        <w:rPr>
          <w:rFonts w:hint="eastAsia" w:ascii="黑体" w:hAnsi="黑体" w:eastAsia="黑体" w:cs="黑体"/>
          <w:b w:val="0"/>
          <w:bCs w:val="0"/>
          <w:sz w:val="32"/>
          <w:szCs w:val="32"/>
          <w:lang w:val="en-US" w:eastAsia="zh-CN"/>
        </w:rPr>
        <w:t>重大意见分歧的处理依据和结果</w:t>
      </w:r>
      <w:bookmarkEnd w:id="50"/>
      <w:bookmarkEnd w:id="51"/>
      <w:bookmarkEnd w:id="52"/>
    </w:p>
    <w:p w14:paraId="502C986A">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暂</w:t>
      </w:r>
      <w:r>
        <w:rPr>
          <w:rFonts w:hint="eastAsia" w:ascii="仿宋_GB2312" w:hAnsi="仿宋_GB2312" w:eastAsia="仿宋_GB2312" w:cs="仿宋_GB2312"/>
          <w:kern w:val="2"/>
          <w:sz w:val="32"/>
          <w:szCs w:val="32"/>
        </w:rPr>
        <w:t>无。</w:t>
      </w:r>
    </w:p>
    <w:p w14:paraId="7067BA9D">
      <w:pPr>
        <w:pStyle w:val="2"/>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76" w:lineRule="exact"/>
        <w:ind w:left="0" w:firstLine="640" w:firstLineChars="200"/>
        <w:jc w:val="both"/>
        <w:textAlignment w:val="auto"/>
        <w:rPr>
          <w:rFonts w:hint="eastAsia" w:ascii="黑体" w:hAnsi="黑体" w:eastAsia="黑体" w:cs="黑体"/>
          <w:b w:val="0"/>
          <w:bCs w:val="0"/>
          <w:sz w:val="32"/>
          <w:szCs w:val="32"/>
          <w:lang w:val="en-US" w:eastAsia="zh-CN"/>
        </w:rPr>
      </w:pPr>
      <w:bookmarkStart w:id="53" w:name="_Toc15962"/>
      <w:bookmarkStart w:id="54" w:name="_Toc15058"/>
      <w:bookmarkStart w:id="55" w:name="_Toc5030"/>
      <w:r>
        <w:rPr>
          <w:rFonts w:hint="eastAsia" w:ascii="黑体" w:hAnsi="黑体" w:eastAsia="黑体" w:cs="黑体"/>
          <w:b w:val="0"/>
          <w:bCs w:val="0"/>
          <w:sz w:val="32"/>
          <w:szCs w:val="32"/>
          <w:lang w:val="en-US" w:eastAsia="zh-CN"/>
        </w:rPr>
        <w:t>其他应予以说明的事项</w:t>
      </w:r>
      <w:bookmarkEnd w:id="53"/>
      <w:bookmarkEnd w:id="54"/>
      <w:bookmarkEnd w:id="55"/>
    </w:p>
    <w:p w14:paraId="258009CC">
      <w:pPr>
        <w:pStyle w:val="14"/>
        <w:keepNext w:val="0"/>
        <w:keepLines w:val="0"/>
        <w:pageBreakBefore w:val="0"/>
        <w:widowControl w:val="0"/>
        <w:kinsoku/>
        <w:wordWrap/>
        <w:overflowPunct/>
        <w:topLinePunct w:val="0"/>
        <w:bidi w:val="0"/>
        <w:adjustRightInd/>
        <w:snapToGrid/>
        <w:spacing w:line="576" w:lineRule="exact"/>
        <w:ind w:left="0" w:firstLine="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rPr>
        <w:t>无。</w:t>
      </w:r>
    </w:p>
    <w:sectPr>
      <w:headerReference r:id="rId5" w:type="default"/>
      <w:footerReference r:id="rId6" w:type="default"/>
      <w:pgSz w:w="11906" w:h="16838"/>
      <w:pgMar w:top="2098" w:right="1474" w:bottom="1984" w:left="1587" w:header="851" w:footer="1531"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mbria">
    <w:altName w:val="苹方-简"/>
    <w:panose1 w:val="02040503050406030204"/>
    <w:charset w:val="00"/>
    <w:family w:val="roman"/>
    <w:pitch w:val="default"/>
    <w:sig w:usb0="00000000" w:usb1="00000000" w:usb2="02000000" w:usb3="00000000" w:csb0="2000019F" w:csb1="00000000"/>
  </w:font>
  <w:font w:name="方正小标宋简体">
    <w:panose1 w:val="02010600010101010101"/>
    <w:charset w:val="86"/>
    <w:family w:val="auto"/>
    <w:pitch w:val="default"/>
    <w:sig w:usb0="00000001" w:usb1="080E0000" w:usb2="00000000" w:usb3="00000000" w:csb0="00040000" w:csb1="00000000"/>
  </w:font>
  <w:font w:name="楷体_GB2312">
    <w:altName w:val="汉仪楷体简"/>
    <w:panose1 w:val="02010609030101010101"/>
    <w:charset w:val="86"/>
    <w:family w:val="auto"/>
    <w:pitch w:val="default"/>
    <w:sig w:usb0="00000000" w:usb1="00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DFD118">
    <w:pPr>
      <w:pStyle w:val="5"/>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A81478E">
                          <w:pPr>
                            <w:pStyle w:val="5"/>
                            <w:ind w:firstLine="560"/>
                            <w:rPr>
                              <w:rStyle w:val="12"/>
                              <w:rFonts w:ascii="宋体" w:hAnsi="宋体"/>
                              <w:sz w:val="28"/>
                              <w:szCs w:val="28"/>
                            </w:rPr>
                          </w:pPr>
                          <w:r>
                            <w:rPr>
                              <w:rFonts w:ascii="宋体" w:hAnsi="宋体"/>
                              <w:sz w:val="28"/>
                              <w:szCs w:val="28"/>
                            </w:rPr>
                            <w:fldChar w:fldCharType="begin"/>
                          </w:r>
                          <w:r>
                            <w:rPr>
                              <w:rStyle w:val="12"/>
                              <w:rFonts w:ascii="宋体" w:hAnsi="宋体"/>
                              <w:sz w:val="28"/>
                              <w:szCs w:val="28"/>
                            </w:rPr>
                            <w:instrText xml:space="preserve">PAGE  </w:instrText>
                          </w:r>
                          <w:r>
                            <w:rPr>
                              <w:rFonts w:ascii="宋体" w:hAnsi="宋体"/>
                              <w:sz w:val="28"/>
                              <w:szCs w:val="28"/>
                            </w:rPr>
                            <w:fldChar w:fldCharType="separate"/>
                          </w:r>
                          <w:r>
                            <w:rPr>
                              <w:rStyle w:val="12"/>
                              <w:rFonts w:ascii="宋体" w:hAnsi="宋体"/>
                              <w:sz w:val="28"/>
                              <w:szCs w:val="28"/>
                            </w:rPr>
                            <w:t>- 13 -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A81478E">
                    <w:pPr>
                      <w:pStyle w:val="5"/>
                      <w:ind w:firstLine="560"/>
                      <w:rPr>
                        <w:rStyle w:val="12"/>
                        <w:rFonts w:ascii="宋体" w:hAnsi="宋体"/>
                        <w:sz w:val="28"/>
                        <w:szCs w:val="28"/>
                      </w:rPr>
                    </w:pPr>
                    <w:r>
                      <w:rPr>
                        <w:rFonts w:ascii="宋体" w:hAnsi="宋体"/>
                        <w:sz w:val="28"/>
                        <w:szCs w:val="28"/>
                      </w:rPr>
                      <w:fldChar w:fldCharType="begin"/>
                    </w:r>
                    <w:r>
                      <w:rPr>
                        <w:rStyle w:val="12"/>
                        <w:rFonts w:ascii="宋体" w:hAnsi="宋体"/>
                        <w:sz w:val="28"/>
                        <w:szCs w:val="28"/>
                      </w:rPr>
                      <w:instrText xml:space="preserve">PAGE  </w:instrText>
                    </w:r>
                    <w:r>
                      <w:rPr>
                        <w:rFonts w:ascii="宋体" w:hAnsi="宋体"/>
                        <w:sz w:val="28"/>
                        <w:szCs w:val="28"/>
                      </w:rPr>
                      <w:fldChar w:fldCharType="separate"/>
                    </w:r>
                    <w:r>
                      <w:rPr>
                        <w:rStyle w:val="12"/>
                        <w:rFonts w:ascii="宋体" w:hAnsi="宋体"/>
                        <w:sz w:val="28"/>
                        <w:szCs w:val="28"/>
                      </w:rPr>
                      <w:t>- 13 -</w:t>
                    </w:r>
                    <w:r>
                      <w:rPr>
                        <w:rFonts w:ascii="宋体" w:hAnsi="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E31C45">
    <w:pPr>
      <w:pStyle w:val="6"/>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DCD5FC"/>
    <w:multiLevelType w:val="singleLevel"/>
    <w:tmpl w:val="CFDCD5FC"/>
    <w:lvl w:ilvl="0" w:tentative="0">
      <w:start w:val="1"/>
      <w:numFmt w:val="chineseCounting"/>
      <w:suff w:val="nothing"/>
      <w:lvlText w:val="（%1）"/>
      <w:lvlJc w:val="left"/>
      <w:rPr>
        <w:rFonts w:hint="eastAsia"/>
      </w:rPr>
    </w:lvl>
  </w:abstractNum>
  <w:abstractNum w:abstractNumId="1">
    <w:nsid w:val="5B021439"/>
    <w:multiLevelType w:val="multilevel"/>
    <w:tmpl w:val="5B021439"/>
    <w:lvl w:ilvl="0" w:tentative="0">
      <w:start w:val="1"/>
      <w:numFmt w:val="chineseCountingThousand"/>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25416B"/>
    <w:rsid w:val="11634A30"/>
    <w:rsid w:val="26FDF15C"/>
    <w:rsid w:val="3ABF78A8"/>
    <w:rsid w:val="46C2036A"/>
    <w:rsid w:val="6525416B"/>
    <w:rsid w:val="6FB410D2"/>
    <w:rsid w:val="759D54D1"/>
    <w:rsid w:val="7F74BC9E"/>
    <w:rsid w:val="FB3B7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qFormat/>
    <w:uiPriority w:val="9"/>
    <w:pPr>
      <w:keepNext/>
      <w:keepLines/>
      <w:spacing w:before="156" w:beforeLines="50" w:after="156" w:afterLines="50"/>
      <w:ind w:firstLine="0" w:firstLineChars="0"/>
      <w:outlineLvl w:val="0"/>
    </w:pPr>
    <w:rPr>
      <w:b/>
      <w:bCs/>
      <w:kern w:val="44"/>
      <w:sz w:val="30"/>
      <w:szCs w:val="44"/>
    </w:rPr>
  </w:style>
  <w:style w:type="paragraph" w:styleId="3">
    <w:name w:val="heading 2"/>
    <w:basedOn w:val="1"/>
    <w:next w:val="1"/>
    <w:qFormat/>
    <w:uiPriority w:val="9"/>
    <w:pPr>
      <w:keepNext/>
      <w:keepLines/>
      <w:ind w:left="100" w:leftChars="100" w:firstLine="100" w:firstLineChars="100"/>
      <w:outlineLvl w:val="1"/>
    </w:pPr>
    <w:rPr>
      <w:b/>
      <w:bCs/>
      <w:kern w:val="0"/>
      <w:sz w:val="24"/>
      <w:szCs w:val="32"/>
    </w:rPr>
  </w:style>
  <w:style w:type="paragraph" w:styleId="4">
    <w:name w:val="heading 3"/>
    <w:basedOn w:val="1"/>
    <w:next w:val="1"/>
    <w:qFormat/>
    <w:uiPriority w:val="9"/>
    <w:pPr>
      <w:keepNext/>
      <w:keepLines/>
      <w:outlineLvl w:val="2"/>
    </w:pPr>
    <w:rPr>
      <w:b/>
      <w:bCs/>
      <w:kern w:val="0"/>
      <w:sz w:val="24"/>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footer"/>
    <w:basedOn w:val="1"/>
    <w:unhideWhenUsed/>
    <w:qFormat/>
    <w:uiPriority w:val="0"/>
    <w:pPr>
      <w:tabs>
        <w:tab w:val="center" w:pos="4153"/>
        <w:tab w:val="right" w:pos="8306"/>
      </w:tabs>
      <w:snapToGrid w:val="0"/>
      <w:jc w:val="left"/>
    </w:pPr>
    <w:rPr>
      <w:kern w:val="0"/>
      <w:sz w:val="18"/>
      <w:szCs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7">
    <w:name w:val="toc 1"/>
    <w:basedOn w:val="1"/>
    <w:next w:val="1"/>
    <w:unhideWhenUsed/>
    <w:qFormat/>
    <w:uiPriority w:val="39"/>
    <w:pPr>
      <w:tabs>
        <w:tab w:val="right" w:leader="dot" w:pos="8296"/>
      </w:tabs>
    </w:pPr>
  </w:style>
  <w:style w:type="paragraph" w:styleId="8">
    <w:name w:val="toc 2"/>
    <w:basedOn w:val="1"/>
    <w:next w:val="1"/>
    <w:unhideWhenUsed/>
    <w:qFormat/>
    <w:uiPriority w:val="39"/>
    <w:pPr>
      <w:ind w:left="420" w:leftChars="200"/>
    </w:pPr>
  </w:style>
  <w:style w:type="paragraph" w:styleId="9">
    <w:name w:val="Normal (Web)"/>
    <w:basedOn w:val="1"/>
    <w:uiPriority w:val="0"/>
    <w:rPr>
      <w:sz w:val="24"/>
    </w:rPr>
  </w:style>
  <w:style w:type="character" w:styleId="12">
    <w:name w:val="page number"/>
    <w:qFormat/>
    <w:uiPriority w:val="0"/>
    <w:rPr>
      <w:rFonts w:ascii="Times New Roman" w:hAnsi="Times New Roman" w:eastAsia="宋体"/>
      <w:sz w:val="18"/>
    </w:rPr>
  </w:style>
  <w:style w:type="paragraph" w:customStyle="1" w:styleId="13">
    <w:name w:val="_Style 4"/>
    <w:basedOn w:val="2"/>
    <w:next w:val="1"/>
    <w:qFormat/>
    <w:uiPriority w:val="39"/>
    <w:pPr>
      <w:widowControl/>
      <w:spacing w:beforeLines="0" w:afterLines="0" w:line="276" w:lineRule="auto"/>
      <w:jc w:val="left"/>
      <w:outlineLvl w:val="9"/>
    </w:pPr>
    <w:rPr>
      <w:rFonts w:ascii="Cambria" w:hAnsi="Cambria" w:eastAsia="宋体" w:cs="Times New Roman"/>
      <w:color w:val="365F91"/>
      <w:kern w:val="0"/>
      <w:sz w:val="28"/>
      <w:szCs w:val="28"/>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lang w:val="en-US" w:eastAsia="zh-CN" w:bidi="ar-SA"/>
    </w:rPr>
  </w:style>
  <w:style w:type="paragraph" w:customStyle="1" w:styleId="15">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3696</Words>
  <Characters>3811</Characters>
  <Lines>0</Lines>
  <Paragraphs>0</Paragraphs>
  <TotalTime>53</TotalTime>
  <ScaleCrop>false</ScaleCrop>
  <LinksUpToDate>false</LinksUpToDate>
  <CharactersWithSpaces>3840</CharactersWithSpaces>
  <Application>WPS Office_7.4.1.8983_F1E327BC-269C-435d-A152-05C5408002CA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2025-05-21T17:46:00Z</dcterms:created>
  <dc:creator>陈俐陶</dc:creator>
  <cp:lastModifiedBy>刘冬</cp:lastModifiedBy>
  <dcterms:modified xsi:type="dcterms:W3CDTF">2025-05-26T18:20:13Z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2052-7.4.1.8983</vt:lpwstr>
  </property>
  <property fmtid="{D5CDD505-2E9C-101B-9397-08002B2CF9AE}" pid="3" name="ICV">
    <vt:lpwstr>FD631AEDE56A4BCA81F343575A9524F7_13</vt:lpwstr>
  </property>
  <property fmtid="{D5CDD505-2E9C-101B-9397-08002B2CF9AE}" pid="4" name="KSOTemplateDocerSaveRecord">
    <vt:lpwstr>eyJoZGlkIjoiOWMzMTdkZjJlNThkNTUxNDVhOTUxNTNkNDE4MTdjYTEiLCJ1c2VySWQiOiIyMDk2NTE4NzcifQ==</vt:lpwstr>
  </property>
</Properties>
</file>