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D95" w:rsidRPr="0076211D" w:rsidRDefault="008F3B10" w:rsidP="00B637CC">
      <w:pPr>
        <w:spacing w:line="360" w:lineRule="auto"/>
        <w:jc w:val="center"/>
        <w:rPr>
          <w:rFonts w:ascii="宋体" w:hAnsi="宋体"/>
          <w:b/>
          <w:color w:val="000000"/>
          <w:sz w:val="36"/>
          <w:szCs w:val="36"/>
        </w:rPr>
      </w:pPr>
      <w:r w:rsidRPr="0076211D">
        <w:rPr>
          <w:rFonts w:ascii="宋体" w:hAnsi="宋体" w:hint="eastAsia"/>
          <w:b/>
          <w:color w:val="000000"/>
          <w:sz w:val="36"/>
          <w:szCs w:val="36"/>
        </w:rPr>
        <w:t>《食品追溯 信息记录要求》</w:t>
      </w:r>
      <w:r w:rsidR="0098321D">
        <w:rPr>
          <w:rFonts w:ascii="宋体" w:hAnsi="宋体" w:hint="eastAsia"/>
          <w:b/>
          <w:color w:val="000000"/>
          <w:sz w:val="36"/>
          <w:szCs w:val="36"/>
        </w:rPr>
        <w:t>（征求</w:t>
      </w:r>
      <w:r w:rsidR="0098321D">
        <w:rPr>
          <w:rFonts w:ascii="宋体" w:hAnsi="宋体"/>
          <w:b/>
          <w:color w:val="000000"/>
          <w:sz w:val="36"/>
          <w:szCs w:val="36"/>
        </w:rPr>
        <w:t>意见稿</w:t>
      </w:r>
      <w:r w:rsidR="0098321D">
        <w:rPr>
          <w:rFonts w:ascii="宋体" w:hAnsi="宋体" w:hint="eastAsia"/>
          <w:b/>
          <w:color w:val="000000"/>
          <w:sz w:val="36"/>
          <w:szCs w:val="36"/>
        </w:rPr>
        <w:t>）</w:t>
      </w:r>
    </w:p>
    <w:p w:rsidR="008F3B10" w:rsidRDefault="008F3B10" w:rsidP="00B637CC">
      <w:pPr>
        <w:spacing w:line="360" w:lineRule="auto"/>
        <w:jc w:val="center"/>
        <w:rPr>
          <w:rFonts w:ascii="宋体" w:hAnsi="宋体"/>
          <w:b/>
          <w:color w:val="000000"/>
          <w:sz w:val="36"/>
          <w:szCs w:val="36"/>
        </w:rPr>
      </w:pPr>
      <w:r w:rsidRPr="008313D2">
        <w:rPr>
          <w:rFonts w:ascii="宋体" w:hAnsi="宋体" w:hint="eastAsia"/>
          <w:b/>
          <w:color w:val="000000"/>
          <w:sz w:val="36"/>
          <w:szCs w:val="36"/>
        </w:rPr>
        <w:t>编制说明</w:t>
      </w:r>
    </w:p>
    <w:p w:rsidR="00862C64" w:rsidRDefault="00862C64" w:rsidP="00B637CC">
      <w:pPr>
        <w:spacing w:line="360" w:lineRule="auto"/>
        <w:jc w:val="center"/>
        <w:rPr>
          <w:rFonts w:ascii="宋体" w:hAnsi="宋体"/>
          <w:b/>
          <w:color w:val="000000"/>
          <w:sz w:val="36"/>
          <w:szCs w:val="36"/>
        </w:rPr>
      </w:pPr>
    </w:p>
    <w:p w:rsidR="0076211D" w:rsidRPr="00E936F1" w:rsidRDefault="0076211D" w:rsidP="00570926">
      <w:pPr>
        <w:pStyle w:val="a5"/>
        <w:numPr>
          <w:ilvl w:val="0"/>
          <w:numId w:val="1"/>
        </w:numPr>
        <w:spacing w:line="360" w:lineRule="auto"/>
        <w:ind w:firstLineChars="0"/>
        <w:rPr>
          <w:rFonts w:ascii="黑体" w:eastAsia="黑体" w:hAnsi="黑体"/>
          <w:sz w:val="24"/>
        </w:rPr>
      </w:pPr>
      <w:r w:rsidRPr="00E936F1">
        <w:rPr>
          <w:rFonts w:ascii="黑体" w:eastAsia="黑体" w:hAnsi="黑体" w:hint="eastAsia"/>
          <w:sz w:val="24"/>
        </w:rPr>
        <w:t>工作概况</w:t>
      </w:r>
    </w:p>
    <w:p w:rsidR="00633AB6" w:rsidRPr="00E936F1" w:rsidRDefault="00F50A66" w:rsidP="00570926">
      <w:pPr>
        <w:autoSpaceDE w:val="0"/>
        <w:autoSpaceDN w:val="0"/>
        <w:adjustRightInd w:val="0"/>
        <w:spacing w:line="360" w:lineRule="auto"/>
        <w:ind w:firstLineChars="200" w:firstLine="480"/>
        <w:jc w:val="left"/>
        <w:rPr>
          <w:rFonts w:ascii="宋体" w:hAnsi="宋体" w:cs="黑体"/>
          <w:color w:val="FF0000"/>
          <w:kern w:val="0"/>
          <w:sz w:val="24"/>
        </w:rPr>
      </w:pPr>
      <w:r w:rsidRPr="00E936F1">
        <w:rPr>
          <w:rFonts w:ascii="宋体" w:hAnsi="宋体" w:cs="黑体" w:hint="eastAsia"/>
          <w:kern w:val="0"/>
          <w:sz w:val="24"/>
        </w:rPr>
        <w:t>依据《国家标准委关于下达2013年第一批国家标准制修订计划的通知》</w:t>
      </w:r>
      <w:r w:rsidRPr="00E936F1">
        <w:rPr>
          <w:rFonts w:ascii="宋体" w:hAnsi="宋体" w:cs="黑体"/>
          <w:kern w:val="0"/>
          <w:sz w:val="24"/>
        </w:rPr>
        <w:t>(</w:t>
      </w:r>
      <w:r w:rsidRPr="00E936F1">
        <w:rPr>
          <w:rFonts w:ascii="宋体" w:hAnsi="宋体" w:cs="黑体" w:hint="eastAsia"/>
          <w:kern w:val="0"/>
          <w:sz w:val="24"/>
        </w:rPr>
        <w:t>国标委综合[</w:t>
      </w:r>
      <w:r w:rsidRPr="00E936F1">
        <w:rPr>
          <w:rFonts w:ascii="宋体" w:hAnsi="宋体" w:cs="黑体"/>
          <w:kern w:val="0"/>
          <w:sz w:val="24"/>
        </w:rPr>
        <w:t>2013]</w:t>
      </w:r>
      <w:r w:rsidRPr="00E936F1">
        <w:rPr>
          <w:rFonts w:ascii="宋体" w:hAnsi="宋体" w:cs="黑体" w:hint="eastAsia"/>
          <w:kern w:val="0"/>
          <w:sz w:val="24"/>
        </w:rPr>
        <w:t>56号</w:t>
      </w:r>
      <w:r w:rsidRPr="00E936F1">
        <w:rPr>
          <w:rFonts w:ascii="宋体" w:hAnsi="宋体" w:cs="黑体"/>
          <w:kern w:val="0"/>
          <w:sz w:val="24"/>
        </w:rPr>
        <w:t>)</w:t>
      </w:r>
      <w:r w:rsidRPr="00E936F1">
        <w:rPr>
          <w:rFonts w:ascii="宋体" w:hAnsi="宋体" w:cs="黑体" w:hint="eastAsia"/>
          <w:kern w:val="0"/>
          <w:sz w:val="24"/>
        </w:rPr>
        <w:t>文件要求</w:t>
      </w:r>
      <w:r w:rsidR="00E150E5">
        <w:rPr>
          <w:rFonts w:ascii="宋体" w:hAnsi="宋体" w:cs="黑体" w:hint="eastAsia"/>
          <w:kern w:val="0"/>
          <w:sz w:val="24"/>
        </w:rPr>
        <w:t>，由深圳标准技术研究院、</w:t>
      </w:r>
      <w:r w:rsidR="00E150E5">
        <w:rPr>
          <w:rFonts w:ascii="宋体" w:hAnsi="宋体" w:cs="黑体"/>
          <w:kern w:val="0"/>
          <w:sz w:val="24"/>
        </w:rPr>
        <w:t>中国物品编码中心</w:t>
      </w:r>
      <w:r w:rsidR="00E150E5">
        <w:rPr>
          <w:rFonts w:ascii="宋体" w:hAnsi="宋体" w:cs="黑体" w:hint="eastAsia"/>
          <w:kern w:val="0"/>
          <w:sz w:val="24"/>
        </w:rPr>
        <w:t>等</w:t>
      </w:r>
      <w:r w:rsidR="00E150E5">
        <w:rPr>
          <w:rFonts w:ascii="宋体" w:hAnsi="宋体" w:cs="黑体"/>
          <w:kern w:val="0"/>
          <w:sz w:val="24"/>
        </w:rPr>
        <w:t>单位</w:t>
      </w:r>
      <w:r w:rsidR="00E150E5">
        <w:rPr>
          <w:rFonts w:ascii="宋体" w:hAnsi="宋体" w:cs="黑体" w:hint="eastAsia"/>
          <w:kern w:val="0"/>
          <w:sz w:val="24"/>
        </w:rPr>
        <w:t>制定</w:t>
      </w:r>
      <w:r w:rsidR="0089251A" w:rsidRPr="00E936F1">
        <w:rPr>
          <w:rFonts w:ascii="宋体" w:hAnsi="宋体" w:cs="黑体" w:hint="eastAsia"/>
          <w:kern w:val="0"/>
          <w:sz w:val="24"/>
        </w:rPr>
        <w:t>本标准，</w:t>
      </w:r>
      <w:r w:rsidR="0089251A" w:rsidRPr="00E936F1">
        <w:rPr>
          <w:rFonts w:ascii="宋体" w:hAnsi="宋体" w:hint="eastAsia"/>
          <w:color w:val="000000"/>
          <w:sz w:val="24"/>
        </w:rPr>
        <w:t>本标准计划编号</w:t>
      </w:r>
      <w:r w:rsidR="0089251A" w:rsidRPr="00E936F1">
        <w:rPr>
          <w:rFonts w:ascii="宋体" w:hAnsi="宋体" w:cs="黑体" w:hint="eastAsia"/>
          <w:kern w:val="0"/>
          <w:sz w:val="24"/>
        </w:rPr>
        <w:t>为20130299—T—469</w:t>
      </w:r>
      <w:r w:rsidR="00633AB6" w:rsidRPr="00E936F1">
        <w:rPr>
          <w:rFonts w:ascii="宋体" w:hAnsi="宋体" w:cs="黑体" w:hint="eastAsia"/>
          <w:kern w:val="0"/>
          <w:sz w:val="24"/>
        </w:rPr>
        <w:t>，技术归口单位为全国物流信息管理标准化技术委员会。</w:t>
      </w:r>
    </w:p>
    <w:p w:rsidR="00570926" w:rsidRPr="00E936F1" w:rsidRDefault="00570926" w:rsidP="00570926">
      <w:pPr>
        <w:pStyle w:val="a5"/>
        <w:spacing w:line="360" w:lineRule="auto"/>
        <w:ind w:firstLine="480"/>
        <w:rPr>
          <w:rFonts w:ascii="宋体" w:hAnsi="宋体"/>
          <w:sz w:val="24"/>
        </w:rPr>
      </w:pPr>
    </w:p>
    <w:p w:rsidR="00A5388C" w:rsidRPr="00E936F1" w:rsidRDefault="00A5388C" w:rsidP="00570926">
      <w:pPr>
        <w:spacing w:line="360" w:lineRule="auto"/>
        <w:rPr>
          <w:rFonts w:ascii="黑体" w:eastAsia="黑体" w:hAnsi="黑体"/>
          <w:sz w:val="24"/>
        </w:rPr>
      </w:pPr>
      <w:r w:rsidRPr="00E936F1">
        <w:rPr>
          <w:rFonts w:ascii="黑体" w:eastAsia="黑体" w:hAnsi="黑体" w:hint="eastAsia"/>
          <w:sz w:val="24"/>
        </w:rPr>
        <w:t>二、编制原则和主要内容</w:t>
      </w:r>
    </w:p>
    <w:p w:rsidR="00750727" w:rsidRPr="00E936F1" w:rsidRDefault="00A5388C" w:rsidP="00570926">
      <w:pPr>
        <w:autoSpaceDE w:val="0"/>
        <w:autoSpaceDN w:val="0"/>
        <w:adjustRightInd w:val="0"/>
        <w:spacing w:line="360" w:lineRule="auto"/>
        <w:ind w:firstLineChars="150" w:firstLine="361"/>
        <w:jc w:val="left"/>
        <w:rPr>
          <w:rFonts w:ascii="宋体" w:hAnsi="宋体" w:cs="黑体"/>
          <w:kern w:val="0"/>
          <w:sz w:val="24"/>
        </w:rPr>
      </w:pPr>
      <w:r w:rsidRPr="00E936F1">
        <w:rPr>
          <w:rFonts w:ascii="宋体" w:hAnsi="宋体" w:hint="eastAsia"/>
          <w:b/>
          <w:color w:val="000000"/>
          <w:sz w:val="24"/>
        </w:rPr>
        <w:t xml:space="preserve"> </w:t>
      </w:r>
      <w:r w:rsidR="00750727" w:rsidRPr="00E936F1">
        <w:rPr>
          <w:rFonts w:ascii="宋体" w:hAnsi="宋体" w:cs="黑体" w:hint="eastAsia"/>
          <w:kern w:val="0"/>
          <w:sz w:val="24"/>
        </w:rPr>
        <w:t>本标准的编写广泛参照了食品领域各项法规，特别是《</w:t>
      </w:r>
      <w:r w:rsidR="00570926" w:rsidRPr="00E936F1">
        <w:rPr>
          <w:rFonts w:ascii="宋体" w:hAnsi="宋体" w:cs="黑体" w:hint="eastAsia"/>
          <w:kern w:val="0"/>
          <w:sz w:val="24"/>
        </w:rPr>
        <w:t>中华人民共和国</w:t>
      </w:r>
      <w:r w:rsidR="00750727" w:rsidRPr="00E936F1">
        <w:rPr>
          <w:rFonts w:ascii="宋体" w:hAnsi="宋体" w:cs="黑体" w:hint="eastAsia"/>
          <w:kern w:val="0"/>
          <w:sz w:val="24"/>
        </w:rPr>
        <w:t>食品安全法》，标准中的各信息记录文件和标识均依照国家相关法规规定，标准中各项信息记录和标识的具体内容主要来自两个方面，一是来自国家法规规定的信息，另外一个则是来自具体企业的调研信息，通过调研征求意见，修改完善。</w:t>
      </w:r>
    </w:p>
    <w:p w:rsidR="009F50C9" w:rsidRPr="00E936F1" w:rsidRDefault="009337A6" w:rsidP="00570926">
      <w:pPr>
        <w:spacing w:line="360" w:lineRule="auto"/>
        <w:rPr>
          <w:rFonts w:asciiTheme="minorEastAsia" w:eastAsiaTheme="minorEastAsia" w:hAnsiTheme="minorEastAsia"/>
          <w:color w:val="000000"/>
          <w:sz w:val="24"/>
        </w:rPr>
      </w:pPr>
      <w:r w:rsidRPr="00E936F1">
        <w:rPr>
          <w:rFonts w:ascii="宋体" w:hAnsi="宋体" w:hint="eastAsia"/>
          <w:b/>
          <w:color w:val="000000"/>
          <w:sz w:val="24"/>
        </w:rPr>
        <w:t xml:space="preserve">  </w:t>
      </w:r>
      <w:r w:rsidRPr="00E936F1">
        <w:rPr>
          <w:rFonts w:asciiTheme="minorEastAsia" w:eastAsiaTheme="minorEastAsia" w:hAnsiTheme="minorEastAsia" w:hint="eastAsia"/>
          <w:color w:val="000000"/>
          <w:sz w:val="24"/>
        </w:rPr>
        <w:t xml:space="preserve">  本标准共5章，另外还包括参考文献和1个附录。</w:t>
      </w:r>
    </w:p>
    <w:p w:rsidR="005622AD" w:rsidRPr="00E936F1" w:rsidRDefault="005622AD" w:rsidP="00570926">
      <w:pPr>
        <w:spacing w:line="360" w:lineRule="auto"/>
        <w:rPr>
          <w:sz w:val="24"/>
        </w:rPr>
      </w:pPr>
      <w:r w:rsidRPr="00E936F1">
        <w:rPr>
          <w:rFonts w:asciiTheme="minorEastAsia" w:eastAsiaTheme="minorEastAsia" w:hAnsiTheme="minorEastAsia" w:hint="eastAsia"/>
          <w:color w:val="000000"/>
          <w:sz w:val="24"/>
        </w:rPr>
        <w:t xml:space="preserve">    </w:t>
      </w:r>
      <w:r w:rsidRPr="00E936F1">
        <w:rPr>
          <w:rFonts w:hint="eastAsia"/>
          <w:sz w:val="24"/>
        </w:rPr>
        <w:t>1 .</w:t>
      </w:r>
      <w:r w:rsidRPr="00E936F1">
        <w:rPr>
          <w:rFonts w:hint="eastAsia"/>
          <w:sz w:val="24"/>
        </w:rPr>
        <w:t>范围</w:t>
      </w:r>
    </w:p>
    <w:p w:rsidR="005622AD" w:rsidRPr="00E936F1" w:rsidRDefault="005622AD" w:rsidP="00570926">
      <w:pPr>
        <w:spacing w:line="360" w:lineRule="auto"/>
        <w:ind w:firstLineChars="100" w:firstLine="240"/>
        <w:rPr>
          <w:sz w:val="24"/>
        </w:rPr>
      </w:pPr>
      <w:r w:rsidRPr="00E936F1">
        <w:rPr>
          <w:rFonts w:hint="eastAsia"/>
          <w:sz w:val="24"/>
        </w:rPr>
        <w:t xml:space="preserve">  </w:t>
      </w:r>
      <w:r w:rsidRPr="00E936F1">
        <w:rPr>
          <w:rFonts w:hint="eastAsia"/>
          <w:sz w:val="24"/>
        </w:rPr>
        <w:t>本章是《食品追溯</w:t>
      </w:r>
      <w:r w:rsidRPr="00E936F1">
        <w:rPr>
          <w:rFonts w:hint="eastAsia"/>
          <w:sz w:val="24"/>
        </w:rPr>
        <w:t xml:space="preserve"> </w:t>
      </w:r>
      <w:r w:rsidRPr="00E936F1">
        <w:rPr>
          <w:rFonts w:hint="eastAsia"/>
          <w:sz w:val="24"/>
        </w:rPr>
        <w:t>信息记录要求》标准的第</w:t>
      </w:r>
      <w:r w:rsidRPr="00E936F1">
        <w:rPr>
          <w:rFonts w:hint="eastAsia"/>
          <w:sz w:val="24"/>
        </w:rPr>
        <w:t>1</w:t>
      </w:r>
      <w:r w:rsidRPr="00E936F1">
        <w:rPr>
          <w:rFonts w:hint="eastAsia"/>
          <w:sz w:val="24"/>
        </w:rPr>
        <w:t>部分。</w:t>
      </w:r>
    </w:p>
    <w:p w:rsidR="005622AD" w:rsidRPr="00E936F1" w:rsidRDefault="005622AD" w:rsidP="00570926">
      <w:pPr>
        <w:spacing w:line="360" w:lineRule="auto"/>
        <w:ind w:firstLine="480"/>
        <w:rPr>
          <w:sz w:val="24"/>
        </w:rPr>
      </w:pPr>
      <w:r w:rsidRPr="00E936F1">
        <w:rPr>
          <w:rFonts w:hint="eastAsia"/>
          <w:sz w:val="24"/>
        </w:rPr>
        <w:t>本章内容包含了标准规定的信息记录要求以及标准具体的适用范围。</w:t>
      </w:r>
    </w:p>
    <w:p w:rsidR="005622AD" w:rsidRPr="00E936F1" w:rsidRDefault="005622AD" w:rsidP="00570926">
      <w:pPr>
        <w:spacing w:line="360" w:lineRule="auto"/>
        <w:ind w:firstLine="480"/>
        <w:rPr>
          <w:sz w:val="24"/>
        </w:rPr>
      </w:pPr>
      <w:r w:rsidRPr="00E936F1">
        <w:rPr>
          <w:rFonts w:hint="eastAsia"/>
          <w:sz w:val="24"/>
        </w:rPr>
        <w:t>2.</w:t>
      </w:r>
      <w:r w:rsidRPr="00E936F1">
        <w:rPr>
          <w:rFonts w:hint="eastAsia"/>
          <w:b/>
          <w:sz w:val="24"/>
        </w:rPr>
        <w:t xml:space="preserve"> </w:t>
      </w:r>
      <w:r w:rsidRPr="00E936F1">
        <w:rPr>
          <w:rFonts w:hint="eastAsia"/>
          <w:sz w:val="24"/>
        </w:rPr>
        <w:t>规范性引用文件</w:t>
      </w:r>
    </w:p>
    <w:p w:rsidR="005622AD" w:rsidRPr="00E936F1" w:rsidRDefault="005622AD" w:rsidP="00570926">
      <w:pPr>
        <w:spacing w:line="360" w:lineRule="auto"/>
        <w:ind w:firstLine="480"/>
        <w:rPr>
          <w:b/>
          <w:sz w:val="24"/>
        </w:rPr>
      </w:pPr>
      <w:r w:rsidRPr="00E936F1">
        <w:rPr>
          <w:rFonts w:hAnsi="宋体" w:hint="eastAsia"/>
          <w:sz w:val="24"/>
        </w:rPr>
        <w:t>本章给出了本标准应用所引用的标准或规范。</w:t>
      </w:r>
    </w:p>
    <w:p w:rsidR="005622AD" w:rsidRPr="00E936F1" w:rsidRDefault="005622AD" w:rsidP="00570926">
      <w:pPr>
        <w:spacing w:line="360" w:lineRule="auto"/>
        <w:rPr>
          <w:sz w:val="24"/>
        </w:rPr>
      </w:pPr>
      <w:r w:rsidRPr="00E936F1">
        <w:rPr>
          <w:rFonts w:hint="eastAsia"/>
          <w:sz w:val="24"/>
        </w:rPr>
        <w:t xml:space="preserve">    3.</w:t>
      </w:r>
      <w:r w:rsidRPr="00E936F1">
        <w:rPr>
          <w:rFonts w:hAnsi="宋体" w:hint="eastAsia"/>
          <w:sz w:val="24"/>
        </w:rPr>
        <w:t xml:space="preserve"> </w:t>
      </w:r>
      <w:r w:rsidRPr="00E936F1">
        <w:rPr>
          <w:rFonts w:hAnsi="宋体" w:hint="eastAsia"/>
          <w:sz w:val="24"/>
        </w:rPr>
        <w:t>术语和定义</w:t>
      </w:r>
    </w:p>
    <w:p w:rsidR="005622AD" w:rsidRPr="00E936F1" w:rsidRDefault="005622AD" w:rsidP="00570926">
      <w:pPr>
        <w:spacing w:line="360" w:lineRule="auto"/>
        <w:ind w:leftChars="50" w:left="105" w:firstLineChars="150" w:firstLine="360"/>
        <w:rPr>
          <w:sz w:val="24"/>
        </w:rPr>
      </w:pPr>
      <w:r w:rsidRPr="00E936F1">
        <w:rPr>
          <w:rFonts w:hint="eastAsia"/>
          <w:sz w:val="24"/>
        </w:rPr>
        <w:t>本章给出了</w:t>
      </w:r>
      <w:r w:rsidRPr="00E936F1">
        <w:rPr>
          <w:rFonts w:hint="eastAsia"/>
          <w:sz w:val="24"/>
        </w:rPr>
        <w:t>5</w:t>
      </w:r>
      <w:r w:rsidRPr="00E936F1">
        <w:rPr>
          <w:rFonts w:hint="eastAsia"/>
          <w:sz w:val="24"/>
        </w:rPr>
        <w:t>个术语的定义</w:t>
      </w:r>
      <w:r w:rsidRPr="00E936F1">
        <w:rPr>
          <w:rFonts w:hint="eastAsia"/>
          <w:sz w:val="24"/>
        </w:rPr>
        <w:t>,</w:t>
      </w:r>
      <w:r w:rsidRPr="00E936F1">
        <w:rPr>
          <w:rFonts w:hint="eastAsia"/>
          <w:sz w:val="24"/>
        </w:rPr>
        <w:t>包括：可追溯性、可追溯体系、追溯参与方、内部追溯、外部追溯等。</w:t>
      </w:r>
    </w:p>
    <w:p w:rsidR="009F50C9" w:rsidRPr="00E936F1" w:rsidRDefault="005622AD" w:rsidP="00570926">
      <w:pPr>
        <w:spacing w:line="360" w:lineRule="auto"/>
        <w:ind w:firstLine="480"/>
        <w:rPr>
          <w:rFonts w:asciiTheme="minorEastAsia" w:eastAsiaTheme="minorEastAsia" w:hAnsiTheme="minorEastAsia"/>
          <w:color w:val="000000"/>
          <w:sz w:val="24"/>
        </w:rPr>
      </w:pPr>
      <w:r w:rsidRPr="00E936F1">
        <w:rPr>
          <w:rFonts w:asciiTheme="minorEastAsia" w:eastAsiaTheme="minorEastAsia" w:hAnsiTheme="minorEastAsia" w:hint="eastAsia"/>
          <w:color w:val="000000"/>
          <w:sz w:val="24"/>
        </w:rPr>
        <w:t>4.基本要求</w:t>
      </w:r>
    </w:p>
    <w:p w:rsidR="005622AD" w:rsidRPr="00E936F1" w:rsidRDefault="00C60DB0" w:rsidP="00570926">
      <w:pPr>
        <w:spacing w:line="360" w:lineRule="auto"/>
        <w:ind w:firstLine="480"/>
        <w:rPr>
          <w:rFonts w:asciiTheme="minorEastAsia" w:eastAsiaTheme="minorEastAsia" w:hAnsiTheme="minorEastAsia"/>
          <w:color w:val="000000"/>
          <w:sz w:val="24"/>
        </w:rPr>
      </w:pPr>
      <w:r w:rsidRPr="00E936F1">
        <w:rPr>
          <w:rFonts w:asciiTheme="minorEastAsia" w:eastAsiaTheme="minorEastAsia" w:hAnsiTheme="minorEastAsia" w:hint="eastAsia"/>
          <w:color w:val="000000"/>
          <w:sz w:val="24"/>
        </w:rPr>
        <w:t>本章给出了4个基本要求，包括：制度要求、形式要求、填写要求、时间要求等。</w:t>
      </w:r>
    </w:p>
    <w:p w:rsidR="00DE115E" w:rsidRPr="00E936F1" w:rsidRDefault="00DE115E" w:rsidP="00570926">
      <w:pPr>
        <w:spacing w:line="360" w:lineRule="auto"/>
        <w:ind w:firstLine="480"/>
        <w:rPr>
          <w:rFonts w:asciiTheme="minorEastAsia" w:eastAsiaTheme="minorEastAsia" w:hAnsiTheme="minorEastAsia"/>
          <w:color w:val="000000"/>
          <w:sz w:val="24"/>
        </w:rPr>
      </w:pPr>
      <w:r w:rsidRPr="00E936F1">
        <w:rPr>
          <w:rFonts w:asciiTheme="minorEastAsia" w:eastAsiaTheme="minorEastAsia" w:hAnsiTheme="minorEastAsia" w:hint="eastAsia"/>
          <w:color w:val="000000"/>
          <w:sz w:val="24"/>
        </w:rPr>
        <w:t>5.信息记录要素</w:t>
      </w:r>
    </w:p>
    <w:p w:rsidR="005939B4" w:rsidRPr="00E936F1" w:rsidRDefault="005939B4" w:rsidP="00570926">
      <w:pPr>
        <w:spacing w:line="360" w:lineRule="auto"/>
        <w:ind w:firstLine="480"/>
        <w:rPr>
          <w:sz w:val="24"/>
        </w:rPr>
      </w:pPr>
      <w:r w:rsidRPr="00E936F1">
        <w:rPr>
          <w:rFonts w:hint="eastAsia"/>
          <w:sz w:val="24"/>
        </w:rPr>
        <w:t>本章给出了食品追溯参与方需要记录的信息要素，分为记录文件和标识两大</w:t>
      </w:r>
      <w:r w:rsidRPr="00E936F1">
        <w:rPr>
          <w:rFonts w:hint="eastAsia"/>
          <w:sz w:val="24"/>
        </w:rPr>
        <w:lastRenderedPageBreak/>
        <w:t>类，追溯参与方具体包括：食品生产者、食品经营者、餐饮服务经营者、</w:t>
      </w:r>
      <w:r w:rsidR="002A7915" w:rsidRPr="00E936F1">
        <w:rPr>
          <w:rFonts w:hint="eastAsia"/>
          <w:sz w:val="24"/>
        </w:rPr>
        <w:t>物流商、集中交易市场的开办者、柜台出租者和展销会举办者</w:t>
      </w:r>
      <w:r w:rsidRPr="00E936F1">
        <w:rPr>
          <w:rFonts w:hint="eastAsia"/>
          <w:sz w:val="24"/>
        </w:rPr>
        <w:t>、网络食品交易第三方平台</w:t>
      </w:r>
      <w:r w:rsidR="002A7915" w:rsidRPr="00E936F1">
        <w:rPr>
          <w:rFonts w:hint="eastAsia"/>
          <w:sz w:val="24"/>
        </w:rPr>
        <w:t>等</w:t>
      </w:r>
      <w:r w:rsidRPr="00E936F1">
        <w:rPr>
          <w:rFonts w:hint="eastAsia"/>
          <w:sz w:val="24"/>
        </w:rPr>
        <w:t>。</w:t>
      </w:r>
    </w:p>
    <w:p w:rsidR="00DE115E" w:rsidRPr="00E936F1" w:rsidRDefault="00B06ABA" w:rsidP="00570926">
      <w:pPr>
        <w:spacing w:line="360" w:lineRule="auto"/>
        <w:ind w:firstLine="480"/>
        <w:rPr>
          <w:rFonts w:asciiTheme="minorEastAsia" w:eastAsiaTheme="minorEastAsia" w:hAnsiTheme="minorEastAsia"/>
          <w:color w:val="000000"/>
          <w:sz w:val="24"/>
        </w:rPr>
      </w:pPr>
      <w:r w:rsidRPr="00E936F1">
        <w:rPr>
          <w:rFonts w:asciiTheme="minorEastAsia" w:eastAsiaTheme="minorEastAsia" w:hAnsiTheme="minorEastAsia" w:hint="eastAsia"/>
          <w:color w:val="000000"/>
          <w:sz w:val="24"/>
        </w:rPr>
        <w:t>参考文献给出了本标准所参考的5个重要的法规标准。</w:t>
      </w:r>
    </w:p>
    <w:p w:rsidR="00B06ABA" w:rsidRPr="00E936F1" w:rsidRDefault="00B06ABA" w:rsidP="00570926">
      <w:pPr>
        <w:spacing w:line="360" w:lineRule="auto"/>
        <w:ind w:firstLine="480"/>
        <w:rPr>
          <w:rFonts w:asciiTheme="minorEastAsia" w:eastAsiaTheme="minorEastAsia" w:hAnsiTheme="minorEastAsia"/>
          <w:color w:val="000000"/>
          <w:sz w:val="24"/>
        </w:rPr>
      </w:pPr>
      <w:r w:rsidRPr="00E936F1">
        <w:rPr>
          <w:rFonts w:asciiTheme="minorEastAsia" w:eastAsiaTheme="minorEastAsia" w:hAnsiTheme="minorEastAsia" w:hint="eastAsia"/>
          <w:color w:val="000000"/>
          <w:sz w:val="24"/>
        </w:rPr>
        <w:t>附录给出了企业和产品证照类别。</w:t>
      </w:r>
    </w:p>
    <w:p w:rsidR="00570926" w:rsidRPr="00E936F1" w:rsidRDefault="00570926" w:rsidP="00570926">
      <w:pPr>
        <w:spacing w:line="360" w:lineRule="auto"/>
        <w:ind w:firstLine="480"/>
        <w:rPr>
          <w:rFonts w:asciiTheme="minorEastAsia" w:eastAsiaTheme="minorEastAsia" w:hAnsiTheme="minorEastAsia"/>
          <w:color w:val="000000"/>
          <w:sz w:val="24"/>
        </w:rPr>
      </w:pPr>
    </w:p>
    <w:p w:rsidR="00A537F1" w:rsidRPr="00E936F1" w:rsidRDefault="00A537F1" w:rsidP="00570926">
      <w:pPr>
        <w:spacing w:line="360" w:lineRule="auto"/>
        <w:rPr>
          <w:rFonts w:ascii="黑体" w:eastAsia="黑体" w:hAnsi="黑体"/>
          <w:sz w:val="24"/>
        </w:rPr>
      </w:pPr>
      <w:r w:rsidRPr="00E936F1">
        <w:rPr>
          <w:rFonts w:ascii="黑体" w:eastAsia="黑体" w:hAnsi="黑体" w:hint="eastAsia"/>
          <w:sz w:val="24"/>
        </w:rPr>
        <w:t>三、</w:t>
      </w:r>
      <w:r w:rsidR="004973D4" w:rsidRPr="00E936F1">
        <w:rPr>
          <w:rFonts w:ascii="黑体" w:eastAsia="黑体" w:hAnsi="黑体" w:hint="eastAsia"/>
          <w:sz w:val="24"/>
        </w:rPr>
        <w:t>背景、</w:t>
      </w:r>
      <w:r w:rsidRPr="00E936F1">
        <w:rPr>
          <w:rFonts w:ascii="黑体" w:eastAsia="黑体" w:hAnsi="黑体" w:hint="eastAsia"/>
          <w:sz w:val="24"/>
        </w:rPr>
        <w:t>目的意义</w:t>
      </w:r>
    </w:p>
    <w:p w:rsidR="00C360DD" w:rsidRPr="00E936F1" w:rsidRDefault="00A537F1" w:rsidP="00570926">
      <w:pPr>
        <w:autoSpaceDE w:val="0"/>
        <w:autoSpaceDN w:val="0"/>
        <w:adjustRightInd w:val="0"/>
        <w:spacing w:line="360" w:lineRule="auto"/>
        <w:jc w:val="left"/>
        <w:rPr>
          <w:rFonts w:ascii="宋体" w:hAnsi="宋体" w:cs="黑体"/>
          <w:kern w:val="0"/>
          <w:sz w:val="24"/>
        </w:rPr>
      </w:pPr>
      <w:r w:rsidRPr="00E936F1">
        <w:rPr>
          <w:rFonts w:asciiTheme="minorEastAsia" w:eastAsiaTheme="minorEastAsia" w:hAnsiTheme="minorEastAsia" w:hint="eastAsia"/>
          <w:color w:val="000000"/>
          <w:sz w:val="24"/>
        </w:rPr>
        <w:t xml:space="preserve">    </w:t>
      </w:r>
      <w:r w:rsidR="00C360DD" w:rsidRPr="00E936F1">
        <w:rPr>
          <w:rFonts w:ascii="宋体" w:hAnsi="宋体" w:cs="黑体" w:hint="eastAsia"/>
          <w:kern w:val="0"/>
          <w:sz w:val="24"/>
        </w:rPr>
        <w:t>1、背景</w:t>
      </w:r>
    </w:p>
    <w:p w:rsidR="00C360DD" w:rsidRPr="00E936F1" w:rsidRDefault="00C360DD" w:rsidP="00570926">
      <w:pPr>
        <w:spacing w:line="360" w:lineRule="auto"/>
        <w:ind w:firstLineChars="200" w:firstLine="480"/>
        <w:rPr>
          <w:sz w:val="24"/>
        </w:rPr>
      </w:pPr>
      <w:r w:rsidRPr="00E936F1">
        <w:rPr>
          <w:rFonts w:hint="eastAsia"/>
          <w:sz w:val="24"/>
        </w:rPr>
        <w:t>食品安全追溯是加强食品质量监管、提升食品质量安全水平，促进食品竞争力提升的重要手段。我国政府部门、相关行业、企业高度重视食品安全追溯体系建设。</w:t>
      </w:r>
    </w:p>
    <w:p w:rsidR="00C360DD" w:rsidRPr="00E936F1" w:rsidRDefault="00C360DD" w:rsidP="00570926">
      <w:pPr>
        <w:spacing w:line="360" w:lineRule="auto"/>
        <w:ind w:firstLineChars="200" w:firstLine="480"/>
        <w:rPr>
          <w:sz w:val="24"/>
        </w:rPr>
      </w:pPr>
      <w:r w:rsidRPr="00E936F1">
        <w:rPr>
          <w:rFonts w:hint="eastAsia"/>
          <w:sz w:val="24"/>
        </w:rPr>
        <w:t>2002</w:t>
      </w:r>
      <w:r w:rsidRPr="00E936F1">
        <w:rPr>
          <w:rFonts w:hint="eastAsia"/>
          <w:sz w:val="24"/>
        </w:rPr>
        <w:t>年，为推进食品安全追溯工作，国家质检总局率先启动了“条码推进工程”，在蔬菜、肉制品、生鲜食品等行业进行了条码安全追溯体系的试点应用，建设农产品、食品安全可追溯体系，保障食品安全。</w:t>
      </w:r>
    </w:p>
    <w:p w:rsidR="00C360DD" w:rsidRPr="00E936F1" w:rsidRDefault="00C360DD" w:rsidP="00570926">
      <w:pPr>
        <w:spacing w:line="360" w:lineRule="auto"/>
        <w:ind w:firstLineChars="200" w:firstLine="480"/>
        <w:rPr>
          <w:sz w:val="24"/>
        </w:rPr>
      </w:pPr>
      <w:r w:rsidRPr="00E936F1">
        <w:rPr>
          <w:rFonts w:hint="eastAsia"/>
          <w:sz w:val="24"/>
        </w:rPr>
        <w:t>2007</w:t>
      </w:r>
      <w:r w:rsidRPr="00E936F1">
        <w:rPr>
          <w:rFonts w:hint="eastAsia"/>
          <w:sz w:val="24"/>
        </w:rPr>
        <w:t>年</w:t>
      </w:r>
      <w:r w:rsidRPr="00E936F1">
        <w:rPr>
          <w:rFonts w:hint="eastAsia"/>
          <w:sz w:val="24"/>
        </w:rPr>
        <w:t>12</w:t>
      </w:r>
      <w:r w:rsidRPr="00E936F1">
        <w:rPr>
          <w:rFonts w:hint="eastAsia"/>
          <w:sz w:val="24"/>
        </w:rPr>
        <w:t>月，国家质检总局、商务部、工商总局联合发布了《关于贯彻〈国务院关于加强食品等产品安全监督管理的特别规定〉实施产品质量电子监管的通知》。</w:t>
      </w:r>
      <w:r w:rsidRPr="00E936F1">
        <w:rPr>
          <w:rFonts w:hint="eastAsia"/>
          <w:sz w:val="24"/>
        </w:rPr>
        <w:t xml:space="preserve"> </w:t>
      </w:r>
    </w:p>
    <w:p w:rsidR="00C360DD" w:rsidRPr="00E936F1" w:rsidRDefault="00C360DD" w:rsidP="00570926">
      <w:pPr>
        <w:spacing w:line="360" w:lineRule="auto"/>
        <w:ind w:firstLineChars="200" w:firstLine="480"/>
        <w:rPr>
          <w:sz w:val="24"/>
        </w:rPr>
      </w:pPr>
      <w:r w:rsidRPr="00E936F1">
        <w:rPr>
          <w:rFonts w:hint="eastAsia"/>
          <w:sz w:val="24"/>
        </w:rPr>
        <w:t>2012</w:t>
      </w:r>
      <w:r w:rsidRPr="00E936F1">
        <w:rPr>
          <w:rFonts w:hint="eastAsia"/>
          <w:sz w:val="24"/>
        </w:rPr>
        <w:t>年，为进一步提高食品安全保障水平，根据《国务院关于加强食品安全工作的决定》（国发〔</w:t>
      </w:r>
      <w:r w:rsidRPr="00E936F1">
        <w:rPr>
          <w:rFonts w:hint="eastAsia"/>
          <w:sz w:val="24"/>
        </w:rPr>
        <w:t>2012</w:t>
      </w:r>
      <w:r w:rsidRPr="00E936F1">
        <w:rPr>
          <w:rFonts w:hint="eastAsia"/>
          <w:sz w:val="24"/>
        </w:rPr>
        <w:t>〕</w:t>
      </w:r>
      <w:r w:rsidRPr="00E936F1">
        <w:rPr>
          <w:rFonts w:hint="eastAsia"/>
          <w:sz w:val="24"/>
        </w:rPr>
        <w:t>20</w:t>
      </w:r>
      <w:r w:rsidRPr="00E936F1">
        <w:rPr>
          <w:rFonts w:hint="eastAsia"/>
          <w:sz w:val="24"/>
        </w:rPr>
        <w:t>号）和国务院关于地方改革完善食品药品监督管理体制的有关要求，国家发改委分别组织国家质检总局启动了《国家重点食品质量安全追溯物联网应用示范工程》，组织食药总局开展了食品安全监管信息化工程的研究立项工作，建设来源追溯、过程追踪、责任追查及召回销毁的流通监管信息系统，为提升我国食品监管水平提供信息支撑。</w:t>
      </w:r>
    </w:p>
    <w:p w:rsidR="00C360DD" w:rsidRPr="00E936F1" w:rsidRDefault="00C360DD" w:rsidP="00570926">
      <w:pPr>
        <w:spacing w:line="360" w:lineRule="auto"/>
        <w:ind w:firstLineChars="200" w:firstLine="480"/>
        <w:rPr>
          <w:sz w:val="24"/>
        </w:rPr>
      </w:pPr>
      <w:r w:rsidRPr="00E936F1">
        <w:rPr>
          <w:rFonts w:hint="eastAsia"/>
          <w:sz w:val="24"/>
        </w:rPr>
        <w:t>中国物品编码中心于</w:t>
      </w:r>
      <w:r w:rsidRPr="00E936F1">
        <w:rPr>
          <w:rFonts w:hint="eastAsia"/>
          <w:sz w:val="24"/>
        </w:rPr>
        <w:t>2003</w:t>
      </w:r>
      <w:r w:rsidRPr="00E936F1">
        <w:rPr>
          <w:rFonts w:hint="eastAsia"/>
          <w:sz w:val="24"/>
        </w:rPr>
        <w:t>年开始研究将国际物品编码协会在欧盟推广的</w:t>
      </w:r>
      <w:r w:rsidRPr="00E936F1">
        <w:rPr>
          <w:rFonts w:hint="eastAsia"/>
          <w:sz w:val="24"/>
        </w:rPr>
        <w:t>GS1</w:t>
      </w:r>
      <w:r w:rsidRPr="00E936F1">
        <w:rPr>
          <w:rFonts w:hint="eastAsia"/>
          <w:sz w:val="24"/>
        </w:rPr>
        <w:t>系统食品安全溯源技术引进到国内。目前，中国物品编码中心基于</w:t>
      </w:r>
      <w:r w:rsidRPr="00E936F1">
        <w:rPr>
          <w:rFonts w:hint="eastAsia"/>
          <w:sz w:val="24"/>
        </w:rPr>
        <w:t>GS1</w:t>
      </w:r>
      <w:r w:rsidRPr="00E936F1">
        <w:rPr>
          <w:rFonts w:hint="eastAsia"/>
          <w:sz w:val="24"/>
        </w:rPr>
        <w:t>系统创建的中国商品条码标识系统是产品安全追溯体系的重要基础。通过商品条码技术，可以对产品供应链各环节进行标识，并相互链接，一旦产品出现安全问题，可通过这些标识代码进行追溯，快速缩小发生安全问题的产品范围，准确查出产品问题出现的环节所在，直至追溯到产品生产的源头，从而确保产品撤回和召回</w:t>
      </w:r>
      <w:r w:rsidRPr="00E936F1">
        <w:rPr>
          <w:rFonts w:hint="eastAsia"/>
          <w:sz w:val="24"/>
        </w:rPr>
        <w:lastRenderedPageBreak/>
        <w:t>的高效性、准确性，为政府产品质量监管提供有效手段，保护消费者利益，最大限度地降低企业的损失，提升企业产品竞争力。</w:t>
      </w:r>
      <w:r w:rsidRPr="00E936F1">
        <w:rPr>
          <w:rFonts w:hint="eastAsia"/>
          <w:sz w:val="24"/>
        </w:rPr>
        <w:t xml:space="preserve"> </w:t>
      </w:r>
    </w:p>
    <w:p w:rsidR="00C360DD" w:rsidRPr="00E936F1" w:rsidRDefault="00C360DD" w:rsidP="00570926">
      <w:pPr>
        <w:spacing w:line="360" w:lineRule="auto"/>
        <w:ind w:firstLineChars="200" w:firstLine="480"/>
        <w:rPr>
          <w:sz w:val="24"/>
        </w:rPr>
      </w:pPr>
      <w:r w:rsidRPr="00E936F1">
        <w:rPr>
          <w:rFonts w:hint="eastAsia"/>
          <w:sz w:val="24"/>
        </w:rPr>
        <w:t>此外，编码中心还开发了基于商品条码的食品安全追溯信息综合查询系统，在国内建立了</w:t>
      </w:r>
      <w:r w:rsidRPr="00E936F1">
        <w:rPr>
          <w:rFonts w:hint="eastAsia"/>
          <w:sz w:val="24"/>
        </w:rPr>
        <w:t>100</w:t>
      </w:r>
      <w:r w:rsidRPr="00E936F1">
        <w:rPr>
          <w:rFonts w:hint="eastAsia"/>
          <w:sz w:val="24"/>
        </w:rPr>
        <w:t>多个食品安全追溯应用示范，应用试点和推广工作涵盖肉禽类、蔬菜水果、水产品及地方特色食品等。</w:t>
      </w:r>
      <w:r w:rsidRPr="00E936F1">
        <w:rPr>
          <w:rFonts w:hint="eastAsia"/>
          <w:sz w:val="24"/>
        </w:rPr>
        <w:t xml:space="preserve"> </w:t>
      </w:r>
    </w:p>
    <w:p w:rsidR="00C360DD" w:rsidRPr="00E936F1" w:rsidRDefault="00C360DD" w:rsidP="00570926">
      <w:pPr>
        <w:spacing w:line="360" w:lineRule="auto"/>
        <w:ind w:firstLineChars="200" w:firstLine="480"/>
        <w:rPr>
          <w:sz w:val="24"/>
        </w:rPr>
      </w:pPr>
      <w:r w:rsidRPr="00E936F1">
        <w:rPr>
          <w:rFonts w:hint="eastAsia"/>
          <w:sz w:val="24"/>
        </w:rPr>
        <w:t>在食品安全法规上，我国高度重视食品安全，早在</w:t>
      </w:r>
      <w:r w:rsidRPr="00E936F1">
        <w:rPr>
          <w:rFonts w:hint="eastAsia"/>
          <w:sz w:val="24"/>
        </w:rPr>
        <w:t>1995</w:t>
      </w:r>
      <w:r w:rsidRPr="00E936F1">
        <w:rPr>
          <w:rFonts w:hint="eastAsia"/>
          <w:sz w:val="24"/>
        </w:rPr>
        <w:t>年就颁布了《中华人民共和国食品卫生法》（以下简称《食品安全法》）。在此基础上，</w:t>
      </w:r>
      <w:r w:rsidRPr="00E936F1">
        <w:rPr>
          <w:rFonts w:hint="eastAsia"/>
          <w:sz w:val="24"/>
        </w:rPr>
        <w:t>2009</w:t>
      </w:r>
      <w:r w:rsidRPr="00E936F1">
        <w:rPr>
          <w:rFonts w:hint="eastAsia"/>
          <w:sz w:val="24"/>
        </w:rPr>
        <w:t>年</w:t>
      </w:r>
      <w:r w:rsidRPr="00E936F1">
        <w:rPr>
          <w:rFonts w:hint="eastAsia"/>
          <w:sz w:val="24"/>
        </w:rPr>
        <w:t>2</w:t>
      </w:r>
      <w:r w:rsidRPr="00E936F1">
        <w:rPr>
          <w:rFonts w:hint="eastAsia"/>
          <w:sz w:val="24"/>
        </w:rPr>
        <w:t>月</w:t>
      </w:r>
      <w:r w:rsidRPr="00E936F1">
        <w:rPr>
          <w:rFonts w:hint="eastAsia"/>
          <w:sz w:val="24"/>
        </w:rPr>
        <w:t>28</w:t>
      </w:r>
      <w:r w:rsidRPr="00E936F1">
        <w:rPr>
          <w:rFonts w:hint="eastAsia"/>
          <w:sz w:val="24"/>
        </w:rPr>
        <w:t>日，十一届全国人大常委会第七次会议通过了《食品安全法》。</w:t>
      </w:r>
      <w:r w:rsidRPr="00E936F1">
        <w:rPr>
          <w:rFonts w:hint="eastAsia"/>
          <w:sz w:val="24"/>
        </w:rPr>
        <w:t>2013</w:t>
      </w:r>
      <w:r w:rsidRPr="00E936F1">
        <w:rPr>
          <w:rFonts w:hint="eastAsia"/>
          <w:sz w:val="24"/>
        </w:rPr>
        <w:t>年</w:t>
      </w:r>
      <w:r w:rsidRPr="00E936F1">
        <w:rPr>
          <w:rFonts w:hint="eastAsia"/>
          <w:sz w:val="24"/>
        </w:rPr>
        <w:t>6</w:t>
      </w:r>
      <w:r w:rsidRPr="00E936F1">
        <w:rPr>
          <w:rFonts w:hint="eastAsia"/>
          <w:sz w:val="24"/>
        </w:rPr>
        <w:t>月</w:t>
      </w:r>
      <w:r w:rsidRPr="00E936F1">
        <w:rPr>
          <w:rFonts w:hint="eastAsia"/>
          <w:sz w:val="24"/>
        </w:rPr>
        <w:t>17</w:t>
      </w:r>
      <w:r w:rsidRPr="00E936F1">
        <w:rPr>
          <w:rFonts w:hint="eastAsia"/>
          <w:sz w:val="24"/>
        </w:rPr>
        <w:t>日，我国再次启动《食品安全法》的修订，如何重典治乱成焦点。</w:t>
      </w:r>
      <w:r w:rsidRPr="00E936F1">
        <w:rPr>
          <w:rFonts w:hint="eastAsia"/>
          <w:sz w:val="24"/>
        </w:rPr>
        <w:t>2014</w:t>
      </w:r>
      <w:r w:rsidRPr="00E936F1">
        <w:rPr>
          <w:rFonts w:hint="eastAsia"/>
          <w:sz w:val="24"/>
        </w:rPr>
        <w:t>年</w:t>
      </w:r>
      <w:r w:rsidRPr="00E936F1">
        <w:rPr>
          <w:rFonts w:hint="eastAsia"/>
          <w:sz w:val="24"/>
        </w:rPr>
        <w:t>05</w:t>
      </w:r>
      <w:r w:rsidRPr="00E936F1">
        <w:rPr>
          <w:rFonts w:hint="eastAsia"/>
          <w:sz w:val="24"/>
        </w:rPr>
        <w:t>月</w:t>
      </w:r>
      <w:r w:rsidRPr="00E936F1">
        <w:rPr>
          <w:rFonts w:hint="eastAsia"/>
          <w:sz w:val="24"/>
        </w:rPr>
        <w:t>14</w:t>
      </w:r>
      <w:r w:rsidRPr="00E936F1">
        <w:rPr>
          <w:rFonts w:hint="eastAsia"/>
          <w:sz w:val="24"/>
        </w:rPr>
        <w:t>日，国务院常务会议原则通过《食品安全法（修订草案）》。新版《食品安全法（修订草案）》中规定，食品生产经营企业应当建立食品追溯管理制度，保证食品可追溯，并对食品生产者、食品经营者，集中交易市场的开办者</w:t>
      </w:r>
      <w:r w:rsidRPr="00E936F1">
        <w:rPr>
          <w:rFonts w:hint="eastAsia"/>
          <w:sz w:val="24"/>
        </w:rPr>
        <w:t xml:space="preserve"> </w:t>
      </w:r>
      <w:r w:rsidRPr="00E936F1">
        <w:rPr>
          <w:rFonts w:hint="eastAsia"/>
          <w:sz w:val="24"/>
        </w:rPr>
        <w:t>、柜台出租者和展销会举办者，网络食品交易第三方平台提供者等给出了信息记录、标识的规定，但对于整个食品链的信息记录要求规定还不够具体。</w:t>
      </w:r>
    </w:p>
    <w:p w:rsidR="00C360DD" w:rsidRPr="00E936F1" w:rsidRDefault="00C360DD" w:rsidP="00570926">
      <w:pPr>
        <w:spacing w:line="360" w:lineRule="auto"/>
        <w:ind w:firstLineChars="200" w:firstLine="480"/>
        <w:rPr>
          <w:sz w:val="24"/>
        </w:rPr>
      </w:pPr>
      <w:r w:rsidRPr="00E936F1">
        <w:rPr>
          <w:rFonts w:hint="eastAsia"/>
          <w:sz w:val="24"/>
        </w:rPr>
        <w:t>许多国内外食品生产经营企业都建有食品可追溯信息系统，这些追溯系统的存在能大大提高食品生产者的安全责任意识，强化防范措施；打消消费者对食品安全的顾虑，促进消费，提升产品的市场竞争力；有利于消费者查询和维权；有利于增强政府部门对问题食品的发现和处理能力。但是这些系统之间存在不规范、不统一、不兼容的问题，并且由于重复建设导致了不必要的资源浪费。</w:t>
      </w:r>
    </w:p>
    <w:p w:rsidR="00C360DD" w:rsidRPr="00E936F1" w:rsidRDefault="00C360DD" w:rsidP="00570926">
      <w:pPr>
        <w:spacing w:line="360" w:lineRule="auto"/>
        <w:ind w:firstLineChars="200" w:firstLine="480"/>
        <w:rPr>
          <w:sz w:val="24"/>
        </w:rPr>
      </w:pPr>
      <w:r w:rsidRPr="00E936F1">
        <w:rPr>
          <w:rFonts w:hint="eastAsia"/>
          <w:sz w:val="24"/>
        </w:rPr>
        <w:t>目前我国已经制定了</w:t>
      </w:r>
      <w:r w:rsidRPr="00E936F1">
        <w:rPr>
          <w:rFonts w:hint="eastAsia"/>
          <w:sz w:val="24"/>
        </w:rPr>
        <w:t>GB/T 22005</w:t>
      </w:r>
      <w:r w:rsidRPr="00E936F1">
        <w:rPr>
          <w:rFonts w:hint="eastAsia"/>
          <w:sz w:val="24"/>
        </w:rPr>
        <w:t>－</w:t>
      </w:r>
      <w:r w:rsidRPr="00E936F1">
        <w:rPr>
          <w:rFonts w:hint="eastAsia"/>
          <w:sz w:val="24"/>
        </w:rPr>
        <w:t>2009</w:t>
      </w:r>
      <w:r w:rsidRPr="00E936F1">
        <w:rPr>
          <w:rFonts w:hint="eastAsia"/>
          <w:sz w:val="24"/>
        </w:rPr>
        <w:t>《饲料和食品链的可追溯性体系设计与实施的通用原则和基本要求》、</w:t>
      </w:r>
      <w:r w:rsidRPr="00E936F1">
        <w:rPr>
          <w:rFonts w:hint="eastAsia"/>
          <w:sz w:val="24"/>
        </w:rPr>
        <w:t>GB/Z 25008-2010</w:t>
      </w:r>
      <w:r w:rsidRPr="00E936F1">
        <w:rPr>
          <w:rFonts w:hint="eastAsia"/>
          <w:sz w:val="24"/>
        </w:rPr>
        <w:t>《饲料和食品链的可追溯性体系设计与实施指南》、</w:t>
      </w:r>
      <w:r w:rsidRPr="00E936F1">
        <w:rPr>
          <w:rFonts w:hint="eastAsia"/>
          <w:sz w:val="24"/>
        </w:rPr>
        <w:t>GB/T 29373-2012</w:t>
      </w:r>
      <w:r w:rsidRPr="00E936F1">
        <w:rPr>
          <w:rFonts w:hint="eastAsia"/>
          <w:sz w:val="24"/>
        </w:rPr>
        <w:t>《农产品追溯要求果蔬》、</w:t>
      </w:r>
      <w:r w:rsidRPr="00E936F1">
        <w:rPr>
          <w:rFonts w:hint="eastAsia"/>
          <w:sz w:val="24"/>
        </w:rPr>
        <w:t>GB/T 29568-2013</w:t>
      </w:r>
      <w:r w:rsidRPr="00E936F1">
        <w:rPr>
          <w:rFonts w:hint="eastAsia"/>
          <w:sz w:val="24"/>
        </w:rPr>
        <w:t>《农产品追溯要求水产品》、</w:t>
      </w:r>
      <w:r w:rsidRPr="00E936F1">
        <w:rPr>
          <w:rFonts w:hint="eastAsia"/>
          <w:sz w:val="24"/>
        </w:rPr>
        <w:t>GB/T 28843-2012</w:t>
      </w:r>
      <w:r w:rsidRPr="00E936F1">
        <w:rPr>
          <w:rFonts w:hint="eastAsia"/>
          <w:sz w:val="24"/>
        </w:rPr>
        <w:t>《食品冷链物流追溯管理要求》《食品可追溯性通用规范》《食品追溯信息编码与标识规范》《食品追溯信息系统开发指南》《食品追溯要求茶叶》以及《食品追溯要求蜂蜜》等国家标准，从而从标准化角度帮助解决编码不一致及体系不兼容等问题</w:t>
      </w:r>
      <w:r w:rsidRPr="00E936F1">
        <w:rPr>
          <w:rFonts w:hint="eastAsia"/>
          <w:sz w:val="24"/>
        </w:rPr>
        <w:t>,</w:t>
      </w:r>
      <w:r w:rsidRPr="00E936F1">
        <w:rPr>
          <w:rFonts w:hint="eastAsia"/>
          <w:sz w:val="24"/>
        </w:rPr>
        <w:t>推动全供应链、更大范围追溯链条的实现。其中，《食品追溯</w:t>
      </w:r>
      <w:r w:rsidRPr="00E936F1">
        <w:rPr>
          <w:rFonts w:hint="eastAsia"/>
          <w:sz w:val="24"/>
        </w:rPr>
        <w:t xml:space="preserve"> </w:t>
      </w:r>
      <w:r w:rsidRPr="00E936F1">
        <w:rPr>
          <w:rFonts w:hint="eastAsia"/>
          <w:sz w:val="24"/>
        </w:rPr>
        <w:t>信息记录要求》属于我国食品追溯标准体系中的追溯信息标准。</w:t>
      </w:r>
    </w:p>
    <w:p w:rsidR="00C360DD" w:rsidRPr="00E936F1" w:rsidRDefault="00C360DD" w:rsidP="00570926">
      <w:pPr>
        <w:spacing w:line="360" w:lineRule="auto"/>
        <w:ind w:firstLine="480"/>
        <w:rPr>
          <w:sz w:val="24"/>
        </w:rPr>
      </w:pPr>
      <w:r w:rsidRPr="00E936F1">
        <w:rPr>
          <w:rFonts w:hint="eastAsia"/>
          <w:sz w:val="24"/>
        </w:rPr>
        <w:t>综上所述，为了有效实施食品质量可追溯系统，对涉及食品供应链中可追溯</w:t>
      </w:r>
      <w:r w:rsidRPr="00E936F1">
        <w:rPr>
          <w:rFonts w:hint="eastAsia"/>
          <w:sz w:val="24"/>
        </w:rPr>
        <w:lastRenderedPageBreak/>
        <w:t>性信息（如原材料、生产加工过程以及产品销售与流通信息）的采集与记录提出标准化要求，将有利于食品追溯系统的建设，保障消费者权益，对《食品安全法》及其实施条例的贯彻实施具有重要的意义。</w:t>
      </w:r>
    </w:p>
    <w:p w:rsidR="00C360DD" w:rsidRPr="00E936F1" w:rsidRDefault="00C360DD" w:rsidP="00570926">
      <w:pPr>
        <w:autoSpaceDE w:val="0"/>
        <w:autoSpaceDN w:val="0"/>
        <w:adjustRightInd w:val="0"/>
        <w:spacing w:line="360" w:lineRule="auto"/>
        <w:jc w:val="left"/>
        <w:rPr>
          <w:rFonts w:ascii="宋体" w:hAnsi="宋体" w:cs="黑体"/>
          <w:kern w:val="0"/>
          <w:sz w:val="24"/>
        </w:rPr>
      </w:pPr>
      <w:r w:rsidRPr="00E936F1">
        <w:rPr>
          <w:rFonts w:ascii="宋体" w:hAnsi="宋体" w:cs="黑体" w:hint="eastAsia"/>
          <w:kern w:val="0"/>
          <w:sz w:val="24"/>
        </w:rPr>
        <w:t>2、目的</w:t>
      </w:r>
    </w:p>
    <w:p w:rsidR="00C360DD" w:rsidRPr="00E936F1" w:rsidRDefault="00C360DD" w:rsidP="00570926">
      <w:pPr>
        <w:spacing w:line="360" w:lineRule="auto"/>
        <w:ind w:firstLine="480"/>
        <w:rPr>
          <w:sz w:val="24"/>
        </w:rPr>
      </w:pPr>
      <w:r w:rsidRPr="00E936F1">
        <w:rPr>
          <w:rFonts w:hint="eastAsia"/>
          <w:sz w:val="24"/>
        </w:rPr>
        <w:t>本标准旨为食品追溯各环节信息记录提供统一规范，在食品追溯方面为企业到政府、企业到企业、企业到消费者之间的信息记录提供推荐，实现资源共享、综合应用。</w:t>
      </w:r>
    </w:p>
    <w:p w:rsidR="00C360DD" w:rsidRPr="00E936F1" w:rsidRDefault="00C360DD" w:rsidP="00570926">
      <w:pPr>
        <w:pStyle w:val="a5"/>
        <w:numPr>
          <w:ilvl w:val="0"/>
          <w:numId w:val="3"/>
        </w:numPr>
        <w:autoSpaceDE w:val="0"/>
        <w:autoSpaceDN w:val="0"/>
        <w:adjustRightInd w:val="0"/>
        <w:spacing w:line="360" w:lineRule="auto"/>
        <w:ind w:firstLineChars="0"/>
        <w:jc w:val="left"/>
        <w:rPr>
          <w:rFonts w:ascii="宋体" w:hAnsi="宋体" w:cs="黑体"/>
          <w:kern w:val="0"/>
          <w:sz w:val="24"/>
        </w:rPr>
      </w:pPr>
      <w:r w:rsidRPr="00E936F1">
        <w:rPr>
          <w:rFonts w:ascii="宋体" w:hAnsi="宋体" w:cs="黑体" w:hint="eastAsia"/>
          <w:kern w:val="0"/>
          <w:sz w:val="24"/>
        </w:rPr>
        <w:t>意义</w:t>
      </w:r>
    </w:p>
    <w:p w:rsidR="00C360DD" w:rsidRPr="00E936F1" w:rsidRDefault="00C360DD" w:rsidP="00570926">
      <w:pPr>
        <w:autoSpaceDE w:val="0"/>
        <w:autoSpaceDN w:val="0"/>
        <w:adjustRightInd w:val="0"/>
        <w:spacing w:line="360" w:lineRule="auto"/>
        <w:ind w:firstLine="480"/>
        <w:jc w:val="left"/>
        <w:rPr>
          <w:rFonts w:ascii="宋体" w:hAnsi="宋体" w:cs="黑体"/>
          <w:kern w:val="0"/>
          <w:sz w:val="24"/>
        </w:rPr>
      </w:pPr>
      <w:r w:rsidRPr="00E936F1">
        <w:rPr>
          <w:rFonts w:ascii="宋体" w:hAnsi="宋体" w:cs="黑体" w:hint="eastAsia"/>
          <w:kern w:val="0"/>
          <w:sz w:val="24"/>
        </w:rPr>
        <w:t>制定食品追溯信息记录标准，具有重要的意义，使食品追溯参与的信息记录、标识标准化；有利于食品追溯参与方可追溯体系及食品追溯信息系统的设计和实施；提高消费者对食品信息的知情权，有利于消费者对食品信息的查询；提高政府对食品信息的管控，加强了政府对食品安全的保障能力；整合社会资源，提高了食品追溯效率，推动了食品企业的调整升级。</w:t>
      </w:r>
    </w:p>
    <w:p w:rsidR="00E609EE" w:rsidRPr="00E936F1" w:rsidRDefault="00E609EE" w:rsidP="00570926">
      <w:pPr>
        <w:spacing w:line="360" w:lineRule="auto"/>
        <w:rPr>
          <w:rFonts w:ascii="黑体" w:eastAsia="黑体" w:hAnsi="黑体"/>
          <w:sz w:val="24"/>
        </w:rPr>
      </w:pPr>
      <w:r w:rsidRPr="00E936F1">
        <w:rPr>
          <w:rFonts w:ascii="黑体" w:eastAsia="黑体" w:hAnsi="黑体" w:hint="eastAsia"/>
          <w:sz w:val="24"/>
        </w:rPr>
        <w:t>四、采用国际标准和国外先进标准的程度，以及与国际、国外同类标准水平的对比情况，或与测试的国外样品、样机的有关数据对比情况</w:t>
      </w:r>
    </w:p>
    <w:p w:rsidR="00E609EE" w:rsidRPr="00E936F1" w:rsidRDefault="00E609EE" w:rsidP="00570926">
      <w:pPr>
        <w:pStyle w:val="a6"/>
        <w:spacing w:line="360" w:lineRule="auto"/>
        <w:ind w:firstLine="480"/>
        <w:rPr>
          <w:rFonts w:hAnsi="宋体"/>
          <w:sz w:val="24"/>
          <w:szCs w:val="24"/>
        </w:rPr>
      </w:pPr>
      <w:r w:rsidRPr="00E936F1">
        <w:rPr>
          <w:rFonts w:hAnsi="宋体" w:hint="eastAsia"/>
          <w:sz w:val="24"/>
          <w:szCs w:val="24"/>
        </w:rPr>
        <w:t>无</w:t>
      </w:r>
    </w:p>
    <w:p w:rsidR="00570926" w:rsidRPr="00E936F1" w:rsidRDefault="00570926" w:rsidP="00570926">
      <w:pPr>
        <w:pStyle w:val="a6"/>
        <w:spacing w:line="360" w:lineRule="auto"/>
        <w:ind w:firstLine="480"/>
        <w:rPr>
          <w:rFonts w:ascii="黑体" w:eastAsia="黑体" w:hAnsi="黑体"/>
          <w:noProof w:val="0"/>
          <w:kern w:val="2"/>
          <w:sz w:val="24"/>
          <w:szCs w:val="24"/>
        </w:rPr>
      </w:pPr>
    </w:p>
    <w:p w:rsidR="00E609EE" w:rsidRPr="00E936F1" w:rsidRDefault="00E609EE" w:rsidP="00570926">
      <w:pPr>
        <w:spacing w:line="360" w:lineRule="auto"/>
        <w:rPr>
          <w:rFonts w:ascii="黑体" w:eastAsia="黑体" w:hAnsi="黑体"/>
          <w:sz w:val="24"/>
        </w:rPr>
      </w:pPr>
      <w:r w:rsidRPr="00E936F1">
        <w:rPr>
          <w:rFonts w:ascii="黑体" w:eastAsia="黑体" w:hAnsi="黑体" w:hint="eastAsia"/>
          <w:sz w:val="24"/>
        </w:rPr>
        <w:t>五、与有关的现行法律、法规和强制性国家标准的建议</w:t>
      </w:r>
    </w:p>
    <w:p w:rsidR="00E609EE" w:rsidRPr="00E936F1" w:rsidRDefault="00E609EE" w:rsidP="00570926">
      <w:pPr>
        <w:pStyle w:val="a6"/>
        <w:spacing w:line="360" w:lineRule="auto"/>
        <w:ind w:firstLine="480"/>
        <w:rPr>
          <w:rFonts w:hAnsi="宋体"/>
          <w:sz w:val="24"/>
          <w:szCs w:val="24"/>
        </w:rPr>
      </w:pPr>
      <w:r w:rsidRPr="00E936F1">
        <w:rPr>
          <w:rFonts w:hAnsi="宋体" w:hint="eastAsia"/>
          <w:sz w:val="24"/>
          <w:szCs w:val="24"/>
        </w:rPr>
        <w:t>无</w:t>
      </w:r>
    </w:p>
    <w:p w:rsidR="00E609EE" w:rsidRPr="00E936F1" w:rsidRDefault="00E609EE" w:rsidP="00570926">
      <w:pPr>
        <w:pStyle w:val="a6"/>
        <w:spacing w:line="360" w:lineRule="auto"/>
        <w:ind w:firstLine="480"/>
        <w:rPr>
          <w:rFonts w:hAnsi="宋体"/>
          <w:sz w:val="24"/>
          <w:szCs w:val="24"/>
        </w:rPr>
      </w:pPr>
    </w:p>
    <w:p w:rsidR="00E609EE" w:rsidRPr="00E936F1" w:rsidRDefault="00E609EE" w:rsidP="00570926">
      <w:pPr>
        <w:spacing w:line="360" w:lineRule="auto"/>
        <w:rPr>
          <w:rFonts w:ascii="黑体" w:eastAsia="黑体" w:hAnsi="黑体"/>
          <w:sz w:val="24"/>
        </w:rPr>
      </w:pPr>
      <w:r w:rsidRPr="00E936F1">
        <w:rPr>
          <w:rFonts w:ascii="黑体" w:eastAsia="黑体" w:hAnsi="黑体" w:hint="eastAsia"/>
          <w:sz w:val="24"/>
        </w:rPr>
        <w:t>六、重大分歧意见的处理经过和依据</w:t>
      </w:r>
    </w:p>
    <w:p w:rsidR="00E609EE" w:rsidRPr="00E936F1" w:rsidRDefault="00E609EE" w:rsidP="00570926">
      <w:pPr>
        <w:pStyle w:val="a6"/>
        <w:spacing w:line="360" w:lineRule="auto"/>
        <w:ind w:firstLine="480"/>
        <w:rPr>
          <w:rFonts w:hAnsi="宋体"/>
          <w:sz w:val="24"/>
          <w:szCs w:val="24"/>
        </w:rPr>
      </w:pPr>
      <w:r w:rsidRPr="00E936F1">
        <w:rPr>
          <w:rFonts w:hAnsi="宋体" w:hint="eastAsia"/>
          <w:sz w:val="24"/>
          <w:szCs w:val="24"/>
        </w:rPr>
        <w:t>无重大分歧，本标准的编制过程请见附录一。</w:t>
      </w:r>
    </w:p>
    <w:p w:rsidR="00E609EE" w:rsidRPr="00E936F1" w:rsidRDefault="00E609EE" w:rsidP="00570926">
      <w:pPr>
        <w:pStyle w:val="a6"/>
        <w:spacing w:line="360" w:lineRule="auto"/>
        <w:ind w:firstLine="480"/>
        <w:rPr>
          <w:rFonts w:hAnsi="宋体"/>
          <w:sz w:val="24"/>
          <w:szCs w:val="24"/>
        </w:rPr>
      </w:pPr>
    </w:p>
    <w:p w:rsidR="00E609EE" w:rsidRPr="00E936F1" w:rsidRDefault="00E609EE" w:rsidP="00570926">
      <w:pPr>
        <w:spacing w:line="360" w:lineRule="auto"/>
        <w:rPr>
          <w:rFonts w:ascii="黑体" w:eastAsia="黑体" w:hAnsi="黑体"/>
          <w:sz w:val="24"/>
        </w:rPr>
      </w:pPr>
      <w:r w:rsidRPr="00E936F1">
        <w:rPr>
          <w:rFonts w:ascii="黑体" w:eastAsia="黑体" w:hAnsi="黑体" w:hint="eastAsia"/>
          <w:sz w:val="24"/>
        </w:rPr>
        <w:t>七、国家标准作为强制性国家标准或推荐性国家标准的建议</w:t>
      </w:r>
    </w:p>
    <w:p w:rsidR="00E609EE" w:rsidRPr="00E936F1" w:rsidRDefault="0058364F" w:rsidP="00570926">
      <w:pPr>
        <w:pStyle w:val="a6"/>
        <w:spacing w:line="360" w:lineRule="auto"/>
        <w:ind w:firstLine="480"/>
        <w:rPr>
          <w:rFonts w:hAnsi="宋体"/>
          <w:sz w:val="24"/>
          <w:szCs w:val="24"/>
        </w:rPr>
      </w:pPr>
      <w:r w:rsidRPr="00E936F1">
        <w:rPr>
          <w:rFonts w:hAnsi="宋体" w:hint="eastAsia"/>
          <w:sz w:val="24"/>
          <w:szCs w:val="24"/>
        </w:rPr>
        <w:t>本标准属于国家推荐性标准。</w:t>
      </w:r>
    </w:p>
    <w:p w:rsidR="00E609EE" w:rsidRPr="00E936F1" w:rsidRDefault="00E609EE" w:rsidP="00570926">
      <w:pPr>
        <w:pStyle w:val="a6"/>
        <w:spacing w:line="360" w:lineRule="auto"/>
        <w:ind w:firstLine="480"/>
        <w:rPr>
          <w:rFonts w:hAnsi="宋体"/>
          <w:sz w:val="24"/>
          <w:szCs w:val="24"/>
        </w:rPr>
      </w:pPr>
    </w:p>
    <w:p w:rsidR="00E609EE" w:rsidRPr="00E936F1" w:rsidRDefault="00E609EE" w:rsidP="00570926">
      <w:pPr>
        <w:spacing w:line="360" w:lineRule="auto"/>
        <w:rPr>
          <w:rFonts w:ascii="黑体" w:eastAsia="黑体" w:hAnsi="黑体"/>
          <w:sz w:val="24"/>
        </w:rPr>
      </w:pPr>
      <w:r w:rsidRPr="00E936F1">
        <w:rPr>
          <w:rFonts w:ascii="黑体" w:eastAsia="黑体" w:hAnsi="黑体" w:hint="eastAsia"/>
          <w:sz w:val="24"/>
        </w:rPr>
        <w:t>八、贯彻国家标准的要求和措施建议（包括组织措施、技术措施、过渡办法等内容）</w:t>
      </w:r>
    </w:p>
    <w:p w:rsidR="00E609EE" w:rsidRPr="00E936F1" w:rsidRDefault="00E609EE" w:rsidP="00570926">
      <w:pPr>
        <w:pStyle w:val="a6"/>
        <w:spacing w:line="360" w:lineRule="auto"/>
        <w:ind w:firstLine="480"/>
        <w:rPr>
          <w:rFonts w:hAnsi="宋体"/>
          <w:sz w:val="24"/>
          <w:szCs w:val="24"/>
        </w:rPr>
      </w:pPr>
      <w:r w:rsidRPr="00E936F1">
        <w:rPr>
          <w:rFonts w:hAnsi="宋体" w:hint="eastAsia"/>
          <w:sz w:val="24"/>
          <w:szCs w:val="24"/>
        </w:rPr>
        <w:t>无</w:t>
      </w:r>
    </w:p>
    <w:p w:rsidR="00E609EE" w:rsidRPr="00E936F1" w:rsidRDefault="00E609EE" w:rsidP="00570926">
      <w:pPr>
        <w:spacing w:line="360" w:lineRule="auto"/>
        <w:rPr>
          <w:rFonts w:ascii="黑体" w:eastAsia="黑体" w:hAnsi="黑体"/>
          <w:sz w:val="24"/>
        </w:rPr>
      </w:pPr>
      <w:r w:rsidRPr="00E936F1">
        <w:rPr>
          <w:rFonts w:ascii="黑体" w:eastAsia="黑体" w:hAnsi="黑体" w:hint="eastAsia"/>
          <w:sz w:val="24"/>
        </w:rPr>
        <w:lastRenderedPageBreak/>
        <w:t>九、废止现行有关标准的建议</w:t>
      </w:r>
    </w:p>
    <w:p w:rsidR="00E609EE" w:rsidRPr="00E936F1" w:rsidRDefault="00E609EE" w:rsidP="00570926">
      <w:pPr>
        <w:pStyle w:val="a6"/>
        <w:spacing w:line="360" w:lineRule="auto"/>
        <w:ind w:firstLine="480"/>
        <w:rPr>
          <w:rFonts w:hAnsi="宋体"/>
          <w:sz w:val="24"/>
          <w:szCs w:val="24"/>
        </w:rPr>
      </w:pPr>
      <w:r w:rsidRPr="00E936F1">
        <w:rPr>
          <w:rFonts w:hAnsi="宋体" w:hint="eastAsia"/>
          <w:sz w:val="24"/>
          <w:szCs w:val="24"/>
        </w:rPr>
        <w:t>无</w:t>
      </w:r>
    </w:p>
    <w:p w:rsidR="00E609EE" w:rsidRPr="00E936F1" w:rsidRDefault="00E609EE" w:rsidP="00570926">
      <w:pPr>
        <w:spacing w:line="360" w:lineRule="auto"/>
        <w:rPr>
          <w:rFonts w:ascii="黑体" w:eastAsia="黑体" w:hAnsi="黑体"/>
          <w:sz w:val="24"/>
        </w:rPr>
      </w:pPr>
    </w:p>
    <w:p w:rsidR="00E609EE" w:rsidRPr="00E936F1" w:rsidRDefault="00E609EE" w:rsidP="00570926">
      <w:pPr>
        <w:spacing w:line="360" w:lineRule="auto"/>
        <w:rPr>
          <w:rFonts w:ascii="黑体" w:eastAsia="黑体" w:hAnsi="黑体"/>
          <w:sz w:val="24"/>
        </w:rPr>
      </w:pPr>
      <w:r w:rsidRPr="00E936F1">
        <w:rPr>
          <w:rFonts w:ascii="黑体" w:eastAsia="黑体" w:hAnsi="黑体" w:hint="eastAsia"/>
          <w:sz w:val="24"/>
        </w:rPr>
        <w:t>十、其他应予说明的事项</w:t>
      </w:r>
    </w:p>
    <w:p w:rsidR="007E068F" w:rsidRPr="00E936F1" w:rsidRDefault="006C60CD" w:rsidP="00570926">
      <w:pPr>
        <w:pStyle w:val="a6"/>
        <w:spacing w:line="360" w:lineRule="auto"/>
        <w:ind w:firstLine="480"/>
        <w:rPr>
          <w:rFonts w:hAnsi="宋体"/>
          <w:sz w:val="24"/>
          <w:szCs w:val="24"/>
        </w:rPr>
      </w:pPr>
      <w:r w:rsidRPr="00E936F1">
        <w:rPr>
          <w:rFonts w:hAnsi="宋体" w:hint="eastAsia"/>
          <w:sz w:val="24"/>
          <w:szCs w:val="24"/>
        </w:rPr>
        <w:t>本标准与现有</w:t>
      </w:r>
      <w:r w:rsidR="00B05B83" w:rsidRPr="00E936F1">
        <w:rPr>
          <w:rFonts w:hAnsi="宋体" w:hint="eastAsia"/>
          <w:sz w:val="24"/>
          <w:szCs w:val="24"/>
        </w:rPr>
        <w:t>标准的关系</w:t>
      </w:r>
    </w:p>
    <w:p w:rsidR="007E068F" w:rsidRPr="00E936F1" w:rsidRDefault="00B05B83" w:rsidP="00570926">
      <w:pPr>
        <w:pStyle w:val="a6"/>
        <w:spacing w:line="360" w:lineRule="auto"/>
        <w:ind w:firstLineChars="50" w:firstLine="120"/>
        <w:rPr>
          <w:rFonts w:hAnsi="宋体"/>
          <w:sz w:val="24"/>
          <w:szCs w:val="24"/>
        </w:rPr>
      </w:pPr>
      <w:r w:rsidRPr="00E936F1">
        <w:rPr>
          <w:rFonts w:ascii="黑体" w:eastAsia="黑体" w:hAnsi="黑体" w:hint="eastAsia"/>
          <w:sz w:val="24"/>
          <w:szCs w:val="24"/>
        </w:rPr>
        <w:t xml:space="preserve">  </w:t>
      </w:r>
      <w:r w:rsidR="007E068F" w:rsidRPr="00E936F1">
        <w:rPr>
          <w:rFonts w:hint="eastAsia"/>
          <w:sz w:val="24"/>
          <w:szCs w:val="24"/>
        </w:rPr>
        <w:t>目前我国已经制定了GB/T 22005－2009《饲料和食品链的可追溯性体系设计与实施的通用原则和基本要求》、GB/Z 25008-2010《饲料和食品链的可追溯性体系设计与实施指南》、GB/T 29373-2012《农产品追溯要求果蔬》、GB/T 29568-2013《农产品追溯要求水产品》、GB/T 28843-2012《食品冷链物流追溯管理要求》《食品可追溯性通用规范》《食品追溯信息编码与标识规范》《食品</w:t>
      </w:r>
      <w:bookmarkStart w:id="0" w:name="_GoBack"/>
      <w:bookmarkEnd w:id="0"/>
      <w:r w:rsidR="007E068F" w:rsidRPr="00E936F1">
        <w:rPr>
          <w:rFonts w:hint="eastAsia"/>
          <w:sz w:val="24"/>
          <w:szCs w:val="24"/>
        </w:rPr>
        <w:t>追溯信息系统开发指南》《食品追溯要求茶叶》以及《食品追溯要求蜂蜜》等国家标准，从而从标准化角度帮助解决编码不一致及体系不兼容等问题,推动全供应链、更大范围追溯链条的实现。</w:t>
      </w:r>
    </w:p>
    <w:p w:rsidR="007E068F" w:rsidRPr="00E936F1" w:rsidRDefault="007E068F" w:rsidP="00570926">
      <w:pPr>
        <w:spacing w:line="360" w:lineRule="auto"/>
        <w:rPr>
          <w:sz w:val="24"/>
        </w:rPr>
      </w:pPr>
      <w:r w:rsidRPr="00E936F1">
        <w:rPr>
          <w:rFonts w:hint="eastAsia"/>
          <w:noProof/>
          <w:sz w:val="24"/>
        </w:rPr>
        <w:drawing>
          <wp:inline distT="0" distB="0" distL="0" distR="0" wp14:anchorId="5D8BD08E" wp14:editId="57CCCDE6">
            <wp:extent cx="5876925" cy="29993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7">
                      <a:extLst>
                        <a:ext uri="{28A0092B-C50C-407E-A947-70E740481C1C}">
                          <a14:useLocalDpi xmlns:a14="http://schemas.microsoft.com/office/drawing/2010/main" val="0"/>
                        </a:ext>
                      </a:extLst>
                    </a:blip>
                    <a:stretch>
                      <a:fillRect/>
                    </a:stretch>
                  </pic:blipFill>
                  <pic:spPr>
                    <a:xfrm>
                      <a:off x="0" y="0"/>
                      <a:ext cx="5878583" cy="3000157"/>
                    </a:xfrm>
                    <a:prstGeom prst="rect">
                      <a:avLst/>
                    </a:prstGeom>
                  </pic:spPr>
                </pic:pic>
              </a:graphicData>
            </a:graphic>
          </wp:inline>
        </w:drawing>
      </w:r>
    </w:p>
    <w:p w:rsidR="007E068F" w:rsidRPr="00E936F1" w:rsidRDefault="007E068F" w:rsidP="00570926">
      <w:pPr>
        <w:spacing w:line="360" w:lineRule="auto"/>
        <w:jc w:val="center"/>
        <w:rPr>
          <w:sz w:val="24"/>
        </w:rPr>
      </w:pPr>
      <w:r w:rsidRPr="00E936F1">
        <w:rPr>
          <w:rFonts w:hint="eastAsia"/>
          <w:sz w:val="24"/>
        </w:rPr>
        <w:t>图</w:t>
      </w:r>
      <w:r w:rsidRPr="00E936F1">
        <w:rPr>
          <w:rFonts w:hint="eastAsia"/>
          <w:sz w:val="24"/>
        </w:rPr>
        <w:t xml:space="preserve">1 </w:t>
      </w:r>
      <w:r w:rsidRPr="00E936F1">
        <w:rPr>
          <w:rFonts w:hint="eastAsia"/>
          <w:sz w:val="24"/>
        </w:rPr>
        <w:t>食品质量追溯标准体系结构</w:t>
      </w:r>
    </w:p>
    <w:p w:rsidR="007E068F" w:rsidRPr="00E936F1" w:rsidRDefault="007E068F" w:rsidP="00570926">
      <w:pPr>
        <w:spacing w:line="360" w:lineRule="auto"/>
        <w:ind w:firstLineChars="200" w:firstLine="480"/>
        <w:rPr>
          <w:sz w:val="24"/>
        </w:rPr>
      </w:pPr>
      <w:r w:rsidRPr="00E936F1">
        <w:rPr>
          <w:rFonts w:hint="eastAsia"/>
          <w:sz w:val="24"/>
        </w:rPr>
        <w:t>我国现已制定的食品质量追溯标准体系，依据所属类型，分为通用基础标准系列、追溯信息标准系列、追溯技术标准系列、追溯管理标准系列、追溯服务标准系统，如图</w:t>
      </w:r>
      <w:r w:rsidRPr="00E936F1">
        <w:rPr>
          <w:rFonts w:hint="eastAsia"/>
          <w:sz w:val="24"/>
        </w:rPr>
        <w:t>1</w:t>
      </w:r>
      <w:r w:rsidRPr="00E936F1">
        <w:rPr>
          <w:rFonts w:hint="eastAsia"/>
          <w:sz w:val="24"/>
        </w:rPr>
        <w:t>。图中“</w:t>
      </w:r>
      <w:r w:rsidRPr="00E936F1">
        <w:rPr>
          <w:rFonts w:hint="eastAsia"/>
          <w:sz w:val="24"/>
        </w:rPr>
        <w:t>101</w:t>
      </w:r>
      <w:r w:rsidRPr="00E936F1">
        <w:rPr>
          <w:rFonts w:hint="eastAsia"/>
          <w:sz w:val="24"/>
        </w:rPr>
        <w:t>”代表食品追溯领域的通用基础性标准，例如通用的术语和定义，通用的可追溯体系设计与构建以及实施指南等；“</w:t>
      </w:r>
      <w:r w:rsidRPr="00E936F1">
        <w:rPr>
          <w:rFonts w:hint="eastAsia"/>
          <w:sz w:val="24"/>
        </w:rPr>
        <w:t>201</w:t>
      </w:r>
      <w:r w:rsidRPr="00E936F1">
        <w:rPr>
          <w:rFonts w:hint="eastAsia"/>
          <w:sz w:val="24"/>
        </w:rPr>
        <w:t>”从信息的角度入手，主要包括追溯信息记录、编码和标识以及信息交换等标准；“</w:t>
      </w:r>
      <w:r w:rsidRPr="00E936F1">
        <w:rPr>
          <w:rFonts w:hint="eastAsia"/>
          <w:sz w:val="24"/>
        </w:rPr>
        <w:t>202</w:t>
      </w:r>
      <w:r w:rsidRPr="00E936F1">
        <w:rPr>
          <w:rFonts w:hint="eastAsia"/>
          <w:sz w:val="24"/>
        </w:rPr>
        <w:t>”是</w:t>
      </w:r>
      <w:r w:rsidRPr="00E936F1">
        <w:rPr>
          <w:rFonts w:hint="eastAsia"/>
          <w:sz w:val="24"/>
        </w:rPr>
        <w:lastRenderedPageBreak/>
        <w:t>追溯技术标准方向，囊括了食品追溯涉及到的信息技术应用以及信息化建设手段在内的所有标准，例如条码技术应用指南、射频识别技术应用指南以及信息系统应用开发指南等；“</w:t>
      </w:r>
      <w:r w:rsidRPr="00E936F1">
        <w:rPr>
          <w:rFonts w:hint="eastAsia"/>
          <w:sz w:val="24"/>
        </w:rPr>
        <w:t>203</w:t>
      </w:r>
      <w:r w:rsidRPr="00E936F1">
        <w:rPr>
          <w:rFonts w:hint="eastAsia"/>
          <w:sz w:val="24"/>
        </w:rPr>
        <w:t>”是追溯管理标准方向，主要考虑从追溯评估审核、追溯操作规范的角度进行标准化构建；“</w:t>
      </w:r>
      <w:r w:rsidRPr="00E936F1">
        <w:rPr>
          <w:rFonts w:hint="eastAsia"/>
          <w:sz w:val="24"/>
        </w:rPr>
        <w:t>204</w:t>
      </w:r>
      <w:r w:rsidRPr="00E936F1">
        <w:rPr>
          <w:rFonts w:hint="eastAsia"/>
          <w:sz w:val="24"/>
        </w:rPr>
        <w:t>”是追溯的服务标准，这个方向需要建立在追溯事业发展壮大的基础上，包括追溯咨询认证服务规范等系列标准。</w:t>
      </w:r>
    </w:p>
    <w:p w:rsidR="007E068F" w:rsidRPr="00E936F1" w:rsidRDefault="007E068F" w:rsidP="00570926">
      <w:pPr>
        <w:spacing w:line="360" w:lineRule="auto"/>
        <w:ind w:firstLineChars="200" w:firstLine="480"/>
        <w:rPr>
          <w:b/>
          <w:sz w:val="24"/>
        </w:rPr>
      </w:pPr>
      <w:r w:rsidRPr="00E936F1">
        <w:rPr>
          <w:rFonts w:hint="eastAsia"/>
          <w:sz w:val="24"/>
        </w:rPr>
        <w:t>本标准属于我国食品追溯标准体系中的追溯信息标准。</w:t>
      </w:r>
    </w:p>
    <w:p w:rsidR="00E609EE" w:rsidRPr="00E936F1" w:rsidRDefault="00E609EE" w:rsidP="00570926">
      <w:pPr>
        <w:spacing w:line="360" w:lineRule="auto"/>
        <w:rPr>
          <w:rFonts w:ascii="黑体" w:eastAsia="黑体" w:hAnsi="黑体"/>
          <w:sz w:val="24"/>
        </w:rPr>
      </w:pPr>
    </w:p>
    <w:p w:rsidR="00E609EE" w:rsidRPr="00E936F1" w:rsidRDefault="00E609EE" w:rsidP="00570926">
      <w:pPr>
        <w:autoSpaceDE w:val="0"/>
        <w:autoSpaceDN w:val="0"/>
        <w:adjustRightInd w:val="0"/>
        <w:spacing w:line="360" w:lineRule="auto"/>
        <w:jc w:val="left"/>
        <w:rPr>
          <w:rFonts w:ascii="宋体" w:hAnsi="宋体" w:cs="黑体"/>
          <w:kern w:val="0"/>
          <w:sz w:val="24"/>
        </w:rPr>
      </w:pPr>
    </w:p>
    <w:p w:rsidR="009F50C9" w:rsidRPr="00E936F1" w:rsidRDefault="009F50C9" w:rsidP="00570926">
      <w:pPr>
        <w:spacing w:line="360" w:lineRule="auto"/>
        <w:rPr>
          <w:rFonts w:asciiTheme="minorEastAsia" w:eastAsiaTheme="minorEastAsia" w:hAnsiTheme="minorEastAsia"/>
          <w:color w:val="000000"/>
          <w:sz w:val="24"/>
        </w:rPr>
      </w:pPr>
    </w:p>
    <w:p w:rsidR="009F50C9" w:rsidRPr="00E936F1" w:rsidRDefault="009F50C9" w:rsidP="00570926">
      <w:pPr>
        <w:spacing w:line="360" w:lineRule="auto"/>
        <w:rPr>
          <w:rFonts w:asciiTheme="minorEastAsia" w:eastAsiaTheme="minorEastAsia" w:hAnsiTheme="minorEastAsia"/>
          <w:color w:val="000000"/>
          <w:sz w:val="24"/>
        </w:rPr>
      </w:pPr>
    </w:p>
    <w:p w:rsidR="009F50C9" w:rsidRPr="00C360DD" w:rsidRDefault="009F50C9" w:rsidP="00570926">
      <w:pPr>
        <w:spacing w:line="360" w:lineRule="auto"/>
        <w:rPr>
          <w:rFonts w:asciiTheme="minorEastAsia" w:eastAsiaTheme="minorEastAsia" w:hAnsiTheme="minorEastAsia"/>
          <w:color w:val="000000"/>
          <w:szCs w:val="21"/>
        </w:rPr>
      </w:pPr>
    </w:p>
    <w:p w:rsidR="009F50C9" w:rsidRPr="009337A6" w:rsidRDefault="009F50C9" w:rsidP="00570926">
      <w:pPr>
        <w:spacing w:line="360" w:lineRule="auto"/>
        <w:rPr>
          <w:rFonts w:asciiTheme="minorEastAsia" w:eastAsiaTheme="minorEastAsia" w:hAnsiTheme="minorEastAsia"/>
          <w:color w:val="000000"/>
          <w:sz w:val="24"/>
        </w:rPr>
      </w:pPr>
    </w:p>
    <w:p w:rsidR="009F50C9" w:rsidRPr="009337A6" w:rsidRDefault="009F50C9" w:rsidP="00570926">
      <w:pPr>
        <w:spacing w:line="360" w:lineRule="auto"/>
        <w:rPr>
          <w:rFonts w:asciiTheme="minorEastAsia" w:eastAsiaTheme="minorEastAsia" w:hAnsiTheme="minorEastAsia"/>
          <w:color w:val="000000"/>
          <w:sz w:val="24"/>
        </w:rPr>
      </w:pPr>
    </w:p>
    <w:p w:rsidR="009F50C9" w:rsidRDefault="009F50C9"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Default="00862C64" w:rsidP="00570926">
      <w:pPr>
        <w:spacing w:line="360" w:lineRule="auto"/>
        <w:rPr>
          <w:rFonts w:asciiTheme="minorEastAsia" w:eastAsiaTheme="minorEastAsia" w:hAnsiTheme="minorEastAsia"/>
          <w:color w:val="000000"/>
          <w:sz w:val="24"/>
        </w:rPr>
      </w:pPr>
    </w:p>
    <w:p w:rsidR="00862C64" w:rsidRPr="009337A6" w:rsidRDefault="00862C64" w:rsidP="00570926">
      <w:pPr>
        <w:spacing w:line="360" w:lineRule="auto"/>
        <w:rPr>
          <w:rFonts w:asciiTheme="minorEastAsia" w:eastAsiaTheme="minorEastAsia" w:hAnsiTheme="minorEastAsia"/>
          <w:color w:val="000000"/>
          <w:sz w:val="24"/>
        </w:rPr>
      </w:pPr>
    </w:p>
    <w:p w:rsidR="004A4593" w:rsidRPr="00570926" w:rsidRDefault="004A4593" w:rsidP="00570926">
      <w:pPr>
        <w:pStyle w:val="a7"/>
        <w:spacing w:line="360" w:lineRule="auto"/>
        <w:rPr>
          <w:rFonts w:ascii="黑体" w:hAnsi="黑体"/>
          <w:sz w:val="28"/>
          <w:szCs w:val="21"/>
        </w:rPr>
      </w:pPr>
      <w:r w:rsidRPr="00570926">
        <w:rPr>
          <w:rFonts w:ascii="黑体" w:hAnsi="黑体" w:hint="eastAsia"/>
          <w:sz w:val="28"/>
          <w:szCs w:val="21"/>
        </w:rPr>
        <w:lastRenderedPageBreak/>
        <w:t>附录一：</w:t>
      </w:r>
    </w:p>
    <w:p w:rsidR="004A4593" w:rsidRPr="00570926" w:rsidRDefault="004A4593" w:rsidP="00570926">
      <w:pPr>
        <w:pStyle w:val="a7"/>
        <w:spacing w:line="360" w:lineRule="auto"/>
        <w:jc w:val="center"/>
        <w:rPr>
          <w:rFonts w:ascii="黑体" w:hAnsi="黑体"/>
          <w:sz w:val="28"/>
          <w:szCs w:val="21"/>
        </w:rPr>
      </w:pPr>
      <w:r w:rsidRPr="00570926">
        <w:rPr>
          <w:rFonts w:ascii="黑体" w:hAnsi="黑体" w:hint="eastAsia"/>
          <w:sz w:val="28"/>
          <w:szCs w:val="21"/>
        </w:rPr>
        <w:t>标准制定过程说明</w:t>
      </w:r>
    </w:p>
    <w:p w:rsidR="00F3317A" w:rsidRPr="00F3317A" w:rsidRDefault="00F3317A" w:rsidP="00570926">
      <w:pPr>
        <w:spacing w:line="360" w:lineRule="auto"/>
        <w:ind w:firstLine="480"/>
        <w:rPr>
          <w:szCs w:val="21"/>
        </w:rPr>
      </w:pPr>
      <w:r w:rsidRPr="00F3317A">
        <w:rPr>
          <w:rFonts w:hint="eastAsia"/>
          <w:szCs w:val="21"/>
        </w:rPr>
        <w:t>2014</w:t>
      </w:r>
      <w:r w:rsidRPr="00F3317A">
        <w:rPr>
          <w:rFonts w:hint="eastAsia"/>
          <w:szCs w:val="21"/>
        </w:rPr>
        <w:t>年</w:t>
      </w:r>
      <w:r w:rsidRPr="00F3317A">
        <w:rPr>
          <w:rFonts w:hint="eastAsia"/>
          <w:szCs w:val="21"/>
        </w:rPr>
        <w:t>4</w:t>
      </w:r>
      <w:r w:rsidRPr="00F3317A">
        <w:rPr>
          <w:rFonts w:hint="eastAsia"/>
          <w:szCs w:val="21"/>
        </w:rPr>
        <w:t>月，项目任务下达后，深圳市标准技术研究院成立了标</w:t>
      </w:r>
      <w:r w:rsidR="00570926">
        <w:rPr>
          <w:rFonts w:hint="eastAsia"/>
          <w:szCs w:val="21"/>
        </w:rPr>
        <w:t>准编制小组。标准编制小组深入研究了国内外食品法规和食品追溯标准，</w:t>
      </w:r>
      <w:r w:rsidRPr="00F3317A">
        <w:rPr>
          <w:rFonts w:hint="eastAsia"/>
          <w:szCs w:val="21"/>
        </w:rPr>
        <w:t>明确了标准的体系框架和内容。表</w:t>
      </w:r>
      <w:r w:rsidR="00570926">
        <w:rPr>
          <w:rFonts w:hint="eastAsia"/>
          <w:szCs w:val="21"/>
        </w:rPr>
        <w:t>1</w:t>
      </w:r>
      <w:r w:rsidRPr="00F3317A">
        <w:rPr>
          <w:rFonts w:hint="eastAsia"/>
          <w:szCs w:val="21"/>
        </w:rPr>
        <w:t>为</w:t>
      </w:r>
      <w:r w:rsidR="00334C09">
        <w:rPr>
          <w:rFonts w:hint="eastAsia"/>
          <w:szCs w:val="21"/>
        </w:rPr>
        <w:t>本标准的具体制定</w:t>
      </w:r>
      <w:r w:rsidRPr="00F3317A">
        <w:rPr>
          <w:rFonts w:hint="eastAsia"/>
          <w:szCs w:val="21"/>
        </w:rPr>
        <w:t>过程。</w:t>
      </w:r>
    </w:p>
    <w:p w:rsidR="00F3317A" w:rsidRPr="00570926" w:rsidRDefault="00F3317A" w:rsidP="00F3317A">
      <w:pPr>
        <w:spacing w:line="360" w:lineRule="auto"/>
        <w:jc w:val="center"/>
        <w:rPr>
          <w:rFonts w:ascii="黑体" w:eastAsia="黑体" w:hAnsi="黑体"/>
          <w:sz w:val="22"/>
          <w:szCs w:val="21"/>
        </w:rPr>
      </w:pPr>
      <w:r w:rsidRPr="00570926">
        <w:rPr>
          <w:rFonts w:ascii="黑体" w:eastAsia="黑体" w:hAnsi="黑体" w:hint="eastAsia"/>
          <w:sz w:val="22"/>
          <w:szCs w:val="21"/>
        </w:rPr>
        <w:t xml:space="preserve">表1  《食品追溯 </w:t>
      </w:r>
      <w:r w:rsidR="000E7263" w:rsidRPr="00570926">
        <w:rPr>
          <w:rFonts w:ascii="黑体" w:eastAsia="黑体" w:hAnsi="黑体" w:hint="eastAsia"/>
          <w:sz w:val="22"/>
          <w:szCs w:val="21"/>
        </w:rPr>
        <w:t>信息记录要求》标准制定</w:t>
      </w:r>
      <w:r w:rsidRPr="00570926">
        <w:rPr>
          <w:rFonts w:ascii="黑体" w:eastAsia="黑体" w:hAnsi="黑体" w:hint="eastAsia"/>
          <w:sz w:val="22"/>
          <w:szCs w:val="21"/>
        </w:rPr>
        <w:t>过程</w:t>
      </w:r>
    </w:p>
    <w:tbl>
      <w:tblPr>
        <w:tblStyle w:val="a8"/>
        <w:tblW w:w="8643" w:type="dxa"/>
        <w:jc w:val="center"/>
        <w:tblLook w:val="04A0" w:firstRow="1" w:lastRow="0" w:firstColumn="1" w:lastColumn="0" w:noHBand="0" w:noVBand="1"/>
      </w:tblPr>
      <w:tblGrid>
        <w:gridCol w:w="948"/>
        <w:gridCol w:w="1013"/>
        <w:gridCol w:w="2004"/>
        <w:gridCol w:w="2642"/>
        <w:gridCol w:w="2036"/>
      </w:tblGrid>
      <w:tr w:rsidR="00F3317A" w:rsidRPr="00F3317A" w:rsidTr="00F454CB">
        <w:trPr>
          <w:jc w:val="center"/>
        </w:trPr>
        <w:tc>
          <w:tcPr>
            <w:tcW w:w="1961" w:type="dxa"/>
            <w:gridSpan w:val="2"/>
          </w:tcPr>
          <w:p w:rsidR="00F3317A" w:rsidRPr="00F3317A" w:rsidRDefault="00F3317A" w:rsidP="00F454CB">
            <w:pPr>
              <w:spacing w:line="360" w:lineRule="auto"/>
              <w:jc w:val="center"/>
              <w:rPr>
                <w:b/>
                <w:szCs w:val="21"/>
              </w:rPr>
            </w:pPr>
            <w:r w:rsidRPr="00F3317A">
              <w:rPr>
                <w:rFonts w:hint="eastAsia"/>
                <w:b/>
                <w:szCs w:val="21"/>
              </w:rPr>
              <w:t>研究阶段</w:t>
            </w:r>
          </w:p>
        </w:tc>
        <w:tc>
          <w:tcPr>
            <w:tcW w:w="2004" w:type="dxa"/>
          </w:tcPr>
          <w:p w:rsidR="00F3317A" w:rsidRPr="00F3317A" w:rsidRDefault="00F3317A" w:rsidP="00F454CB">
            <w:pPr>
              <w:spacing w:line="360" w:lineRule="auto"/>
              <w:jc w:val="center"/>
              <w:rPr>
                <w:b/>
                <w:szCs w:val="21"/>
              </w:rPr>
            </w:pPr>
            <w:r w:rsidRPr="00F3317A">
              <w:rPr>
                <w:rFonts w:hint="eastAsia"/>
                <w:b/>
                <w:szCs w:val="21"/>
              </w:rPr>
              <w:t>目标</w:t>
            </w:r>
          </w:p>
        </w:tc>
        <w:tc>
          <w:tcPr>
            <w:tcW w:w="2642" w:type="dxa"/>
          </w:tcPr>
          <w:p w:rsidR="00F3317A" w:rsidRPr="00F3317A" w:rsidRDefault="00F3317A" w:rsidP="00F454CB">
            <w:pPr>
              <w:spacing w:line="360" w:lineRule="auto"/>
              <w:jc w:val="center"/>
              <w:rPr>
                <w:b/>
                <w:szCs w:val="21"/>
              </w:rPr>
            </w:pPr>
            <w:r w:rsidRPr="00F3317A">
              <w:rPr>
                <w:rFonts w:hint="eastAsia"/>
                <w:b/>
                <w:szCs w:val="21"/>
              </w:rPr>
              <w:t>任务</w:t>
            </w:r>
          </w:p>
        </w:tc>
        <w:tc>
          <w:tcPr>
            <w:tcW w:w="2036" w:type="dxa"/>
          </w:tcPr>
          <w:p w:rsidR="00F3317A" w:rsidRPr="00F3317A" w:rsidRDefault="00F3317A" w:rsidP="00F454CB">
            <w:pPr>
              <w:spacing w:line="360" w:lineRule="auto"/>
              <w:jc w:val="center"/>
              <w:rPr>
                <w:b/>
                <w:szCs w:val="21"/>
              </w:rPr>
            </w:pPr>
            <w:r w:rsidRPr="00F3317A">
              <w:rPr>
                <w:rFonts w:hint="eastAsia"/>
                <w:b/>
                <w:szCs w:val="21"/>
              </w:rPr>
              <w:t>时间进度</w:t>
            </w:r>
          </w:p>
        </w:tc>
      </w:tr>
      <w:tr w:rsidR="00F3317A" w:rsidRPr="00F3317A" w:rsidTr="00F454CB">
        <w:trPr>
          <w:jc w:val="center"/>
        </w:trPr>
        <w:tc>
          <w:tcPr>
            <w:tcW w:w="948" w:type="dxa"/>
            <w:vMerge w:val="restart"/>
          </w:tcPr>
          <w:p w:rsidR="00F3317A" w:rsidRPr="00F3317A" w:rsidRDefault="00F3317A" w:rsidP="00F454CB">
            <w:pPr>
              <w:spacing w:line="360" w:lineRule="auto"/>
              <w:rPr>
                <w:b/>
                <w:szCs w:val="21"/>
              </w:rPr>
            </w:pPr>
          </w:p>
          <w:p w:rsidR="00F3317A" w:rsidRPr="00F3317A" w:rsidRDefault="00F3317A" w:rsidP="00F454CB">
            <w:pPr>
              <w:spacing w:line="360" w:lineRule="auto"/>
              <w:rPr>
                <w:b/>
                <w:szCs w:val="21"/>
              </w:rPr>
            </w:pPr>
          </w:p>
          <w:p w:rsidR="00F3317A" w:rsidRPr="00F3317A" w:rsidRDefault="00F3317A" w:rsidP="00F454CB">
            <w:pPr>
              <w:spacing w:line="360" w:lineRule="auto"/>
              <w:rPr>
                <w:b/>
                <w:szCs w:val="21"/>
              </w:rPr>
            </w:pPr>
            <w:r w:rsidRPr="00F3317A">
              <w:rPr>
                <w:rFonts w:hint="eastAsia"/>
                <w:b/>
                <w:szCs w:val="21"/>
              </w:rPr>
              <w:t>项目</w:t>
            </w:r>
          </w:p>
          <w:p w:rsidR="00F3317A" w:rsidRPr="00F3317A" w:rsidRDefault="00F3317A" w:rsidP="00F454CB">
            <w:pPr>
              <w:spacing w:line="360" w:lineRule="auto"/>
              <w:rPr>
                <w:b/>
                <w:szCs w:val="21"/>
              </w:rPr>
            </w:pPr>
            <w:r w:rsidRPr="00F3317A">
              <w:rPr>
                <w:rFonts w:hint="eastAsia"/>
                <w:b/>
                <w:szCs w:val="21"/>
              </w:rPr>
              <w:t>预研</w:t>
            </w:r>
          </w:p>
        </w:tc>
        <w:tc>
          <w:tcPr>
            <w:tcW w:w="1013" w:type="dxa"/>
          </w:tcPr>
          <w:p w:rsidR="00F3317A" w:rsidRPr="00F3317A" w:rsidRDefault="00F3317A" w:rsidP="00F454CB">
            <w:pPr>
              <w:spacing w:line="360" w:lineRule="auto"/>
              <w:rPr>
                <w:b/>
                <w:szCs w:val="21"/>
              </w:rPr>
            </w:pPr>
            <w:r w:rsidRPr="00F3317A">
              <w:rPr>
                <w:rFonts w:hint="eastAsia"/>
                <w:b/>
                <w:szCs w:val="21"/>
              </w:rPr>
              <w:t>成立项目组</w:t>
            </w:r>
          </w:p>
        </w:tc>
        <w:tc>
          <w:tcPr>
            <w:tcW w:w="2004" w:type="dxa"/>
          </w:tcPr>
          <w:p w:rsidR="00F3317A" w:rsidRPr="00F3317A" w:rsidRDefault="00F3317A" w:rsidP="00F454CB">
            <w:pPr>
              <w:spacing w:line="360" w:lineRule="auto"/>
              <w:rPr>
                <w:szCs w:val="21"/>
              </w:rPr>
            </w:pPr>
            <w:r w:rsidRPr="00F3317A">
              <w:rPr>
                <w:rFonts w:hint="eastAsia"/>
                <w:szCs w:val="21"/>
              </w:rPr>
              <w:t>确定项目组成员及任务</w:t>
            </w:r>
          </w:p>
        </w:tc>
        <w:tc>
          <w:tcPr>
            <w:tcW w:w="2642" w:type="dxa"/>
          </w:tcPr>
          <w:p w:rsidR="00F3317A" w:rsidRPr="00F3317A" w:rsidRDefault="00F3317A" w:rsidP="00F454CB">
            <w:pPr>
              <w:spacing w:line="360" w:lineRule="auto"/>
              <w:rPr>
                <w:szCs w:val="21"/>
              </w:rPr>
            </w:pPr>
            <w:r w:rsidRPr="00F3317A">
              <w:rPr>
                <w:rFonts w:hint="eastAsia"/>
                <w:szCs w:val="21"/>
              </w:rPr>
              <w:t>确定项目组成员名单，确定各成员任务范围</w:t>
            </w:r>
          </w:p>
        </w:tc>
        <w:tc>
          <w:tcPr>
            <w:tcW w:w="2036" w:type="dxa"/>
          </w:tcPr>
          <w:p w:rsidR="00F3317A" w:rsidRPr="00F3317A" w:rsidRDefault="00F3317A" w:rsidP="00F454CB">
            <w:pPr>
              <w:spacing w:line="360" w:lineRule="auto"/>
              <w:rPr>
                <w:szCs w:val="21"/>
              </w:rPr>
            </w:pPr>
            <w:r w:rsidRPr="00F3317A">
              <w:rPr>
                <w:rFonts w:hint="eastAsia"/>
                <w:szCs w:val="21"/>
              </w:rPr>
              <w:t>2014.4-2014.6</w:t>
            </w:r>
          </w:p>
        </w:tc>
      </w:tr>
      <w:tr w:rsidR="00F3317A" w:rsidRPr="00F3317A" w:rsidTr="00F454CB">
        <w:trPr>
          <w:jc w:val="center"/>
        </w:trPr>
        <w:tc>
          <w:tcPr>
            <w:tcW w:w="948" w:type="dxa"/>
            <w:vMerge/>
          </w:tcPr>
          <w:p w:rsidR="00F3317A" w:rsidRPr="00F3317A" w:rsidRDefault="00F3317A" w:rsidP="00F454CB">
            <w:pPr>
              <w:spacing w:line="360" w:lineRule="auto"/>
              <w:rPr>
                <w:b/>
                <w:szCs w:val="21"/>
              </w:rPr>
            </w:pPr>
          </w:p>
        </w:tc>
        <w:tc>
          <w:tcPr>
            <w:tcW w:w="1013" w:type="dxa"/>
          </w:tcPr>
          <w:p w:rsidR="00F3317A" w:rsidRPr="00F3317A" w:rsidRDefault="00F3317A" w:rsidP="00F454CB">
            <w:pPr>
              <w:spacing w:line="360" w:lineRule="auto"/>
              <w:rPr>
                <w:b/>
                <w:szCs w:val="21"/>
              </w:rPr>
            </w:pPr>
            <w:r w:rsidRPr="00F3317A">
              <w:rPr>
                <w:rFonts w:hint="eastAsia"/>
                <w:b/>
                <w:szCs w:val="21"/>
              </w:rPr>
              <w:t>检索相关资料</w:t>
            </w:r>
          </w:p>
        </w:tc>
        <w:tc>
          <w:tcPr>
            <w:tcW w:w="2004" w:type="dxa"/>
          </w:tcPr>
          <w:p w:rsidR="00F3317A" w:rsidRPr="00F3317A" w:rsidRDefault="00F3317A" w:rsidP="00F454CB">
            <w:pPr>
              <w:spacing w:line="360" w:lineRule="auto"/>
              <w:rPr>
                <w:szCs w:val="21"/>
              </w:rPr>
            </w:pPr>
            <w:r w:rsidRPr="00F3317A">
              <w:rPr>
                <w:rFonts w:hint="eastAsia"/>
                <w:szCs w:val="21"/>
              </w:rPr>
              <w:t>确定相关资料范围</w:t>
            </w:r>
          </w:p>
        </w:tc>
        <w:tc>
          <w:tcPr>
            <w:tcW w:w="2642" w:type="dxa"/>
          </w:tcPr>
          <w:p w:rsidR="00F3317A" w:rsidRPr="00F3317A" w:rsidRDefault="00F3317A" w:rsidP="00F454CB">
            <w:pPr>
              <w:spacing w:line="360" w:lineRule="auto"/>
              <w:rPr>
                <w:szCs w:val="21"/>
              </w:rPr>
            </w:pPr>
            <w:r w:rsidRPr="00F3317A">
              <w:rPr>
                <w:rFonts w:hint="eastAsia"/>
                <w:szCs w:val="21"/>
              </w:rPr>
              <w:t>搜集与食品追溯相关的法律法规，标准文档等</w:t>
            </w:r>
          </w:p>
        </w:tc>
        <w:tc>
          <w:tcPr>
            <w:tcW w:w="2036" w:type="dxa"/>
          </w:tcPr>
          <w:p w:rsidR="00F3317A" w:rsidRPr="00F3317A" w:rsidRDefault="00F3317A" w:rsidP="00F454CB">
            <w:pPr>
              <w:spacing w:line="360" w:lineRule="auto"/>
              <w:rPr>
                <w:szCs w:val="21"/>
              </w:rPr>
            </w:pPr>
            <w:r w:rsidRPr="00F3317A">
              <w:rPr>
                <w:rFonts w:hint="eastAsia"/>
                <w:szCs w:val="21"/>
              </w:rPr>
              <w:t>2014.4-2014.6</w:t>
            </w:r>
          </w:p>
        </w:tc>
      </w:tr>
      <w:tr w:rsidR="00F3317A" w:rsidRPr="00F3317A" w:rsidTr="00F454CB">
        <w:trPr>
          <w:jc w:val="center"/>
        </w:trPr>
        <w:tc>
          <w:tcPr>
            <w:tcW w:w="948" w:type="dxa"/>
            <w:vMerge/>
          </w:tcPr>
          <w:p w:rsidR="00F3317A" w:rsidRPr="00F3317A" w:rsidRDefault="00F3317A" w:rsidP="00F454CB">
            <w:pPr>
              <w:spacing w:line="360" w:lineRule="auto"/>
              <w:rPr>
                <w:b/>
                <w:szCs w:val="21"/>
              </w:rPr>
            </w:pPr>
          </w:p>
        </w:tc>
        <w:tc>
          <w:tcPr>
            <w:tcW w:w="1013" w:type="dxa"/>
          </w:tcPr>
          <w:p w:rsidR="00F3317A" w:rsidRPr="00F3317A" w:rsidRDefault="00F3317A" w:rsidP="00F454CB">
            <w:pPr>
              <w:spacing w:line="360" w:lineRule="auto"/>
              <w:rPr>
                <w:b/>
                <w:szCs w:val="21"/>
              </w:rPr>
            </w:pPr>
            <w:r w:rsidRPr="00F3317A">
              <w:rPr>
                <w:rFonts w:hint="eastAsia"/>
                <w:b/>
                <w:szCs w:val="21"/>
              </w:rPr>
              <w:t>整理资料</w:t>
            </w:r>
          </w:p>
        </w:tc>
        <w:tc>
          <w:tcPr>
            <w:tcW w:w="2004" w:type="dxa"/>
          </w:tcPr>
          <w:p w:rsidR="00F3317A" w:rsidRPr="00F3317A" w:rsidRDefault="00F3317A" w:rsidP="00F454CB">
            <w:pPr>
              <w:spacing w:line="360" w:lineRule="auto"/>
              <w:rPr>
                <w:szCs w:val="21"/>
              </w:rPr>
            </w:pPr>
            <w:r w:rsidRPr="00F3317A">
              <w:rPr>
                <w:rFonts w:hint="eastAsia"/>
                <w:szCs w:val="21"/>
              </w:rPr>
              <w:t>整理资料的内容</w:t>
            </w:r>
          </w:p>
        </w:tc>
        <w:tc>
          <w:tcPr>
            <w:tcW w:w="2642" w:type="dxa"/>
          </w:tcPr>
          <w:p w:rsidR="00F3317A" w:rsidRPr="00F3317A" w:rsidRDefault="00F3317A" w:rsidP="00F454CB">
            <w:pPr>
              <w:spacing w:line="360" w:lineRule="auto"/>
              <w:rPr>
                <w:szCs w:val="21"/>
              </w:rPr>
            </w:pPr>
            <w:r w:rsidRPr="00F3317A">
              <w:rPr>
                <w:rFonts w:hint="eastAsia"/>
                <w:szCs w:val="21"/>
              </w:rPr>
              <w:t>从资料中摘取编制标准所需的材料</w:t>
            </w:r>
          </w:p>
        </w:tc>
        <w:tc>
          <w:tcPr>
            <w:tcW w:w="2036" w:type="dxa"/>
          </w:tcPr>
          <w:p w:rsidR="00F3317A" w:rsidRPr="00F3317A" w:rsidRDefault="00F3317A" w:rsidP="00F454CB">
            <w:pPr>
              <w:spacing w:line="360" w:lineRule="auto"/>
              <w:rPr>
                <w:szCs w:val="21"/>
              </w:rPr>
            </w:pPr>
            <w:r w:rsidRPr="00F3317A">
              <w:rPr>
                <w:rFonts w:hint="eastAsia"/>
                <w:szCs w:val="21"/>
              </w:rPr>
              <w:t>2014.4-2014.6</w:t>
            </w:r>
          </w:p>
        </w:tc>
      </w:tr>
      <w:tr w:rsidR="00F3317A" w:rsidRPr="00F3317A" w:rsidTr="00F454CB">
        <w:trPr>
          <w:jc w:val="center"/>
        </w:trPr>
        <w:tc>
          <w:tcPr>
            <w:tcW w:w="1961" w:type="dxa"/>
            <w:gridSpan w:val="2"/>
            <w:vMerge w:val="restart"/>
          </w:tcPr>
          <w:p w:rsidR="00F3317A" w:rsidRPr="00F3317A" w:rsidRDefault="00F3317A" w:rsidP="00F454CB">
            <w:pPr>
              <w:spacing w:line="360" w:lineRule="auto"/>
              <w:rPr>
                <w:b/>
                <w:szCs w:val="21"/>
              </w:rPr>
            </w:pPr>
          </w:p>
          <w:p w:rsidR="00F3317A" w:rsidRPr="00F3317A" w:rsidRDefault="00F3317A" w:rsidP="00F454CB">
            <w:pPr>
              <w:spacing w:line="360" w:lineRule="auto"/>
              <w:rPr>
                <w:b/>
                <w:szCs w:val="21"/>
              </w:rPr>
            </w:pPr>
          </w:p>
          <w:p w:rsidR="00F3317A" w:rsidRPr="00F3317A" w:rsidRDefault="00F3317A" w:rsidP="00F454CB">
            <w:pPr>
              <w:spacing w:line="360" w:lineRule="auto"/>
              <w:rPr>
                <w:b/>
                <w:szCs w:val="21"/>
              </w:rPr>
            </w:pPr>
          </w:p>
          <w:p w:rsidR="00F3317A" w:rsidRPr="00F3317A" w:rsidRDefault="00F3317A" w:rsidP="00F454CB">
            <w:pPr>
              <w:spacing w:line="360" w:lineRule="auto"/>
              <w:rPr>
                <w:b/>
                <w:szCs w:val="21"/>
              </w:rPr>
            </w:pPr>
          </w:p>
          <w:p w:rsidR="00F3317A" w:rsidRPr="00F3317A" w:rsidRDefault="00F3317A" w:rsidP="00F454CB">
            <w:pPr>
              <w:spacing w:line="360" w:lineRule="auto"/>
              <w:rPr>
                <w:b/>
                <w:szCs w:val="21"/>
              </w:rPr>
            </w:pPr>
            <w:r w:rsidRPr="00F3317A">
              <w:rPr>
                <w:rFonts w:hint="eastAsia"/>
                <w:b/>
                <w:szCs w:val="21"/>
              </w:rPr>
              <w:t>项目调研</w:t>
            </w:r>
          </w:p>
        </w:tc>
        <w:tc>
          <w:tcPr>
            <w:tcW w:w="2004" w:type="dxa"/>
            <w:vMerge w:val="restart"/>
          </w:tcPr>
          <w:p w:rsidR="00F3317A" w:rsidRPr="00F3317A" w:rsidRDefault="00F3317A" w:rsidP="00F454CB">
            <w:pPr>
              <w:spacing w:line="360" w:lineRule="auto"/>
              <w:rPr>
                <w:szCs w:val="21"/>
              </w:rPr>
            </w:pPr>
          </w:p>
          <w:p w:rsidR="00F3317A" w:rsidRPr="00F3317A" w:rsidRDefault="00F3317A" w:rsidP="00F454CB">
            <w:pPr>
              <w:spacing w:line="360" w:lineRule="auto"/>
              <w:rPr>
                <w:szCs w:val="21"/>
              </w:rPr>
            </w:pPr>
          </w:p>
          <w:p w:rsidR="00F3317A" w:rsidRPr="00F3317A" w:rsidRDefault="00F3317A" w:rsidP="00F454CB">
            <w:pPr>
              <w:spacing w:line="360" w:lineRule="auto"/>
              <w:rPr>
                <w:szCs w:val="21"/>
              </w:rPr>
            </w:pPr>
            <w:r w:rsidRPr="00F3317A">
              <w:rPr>
                <w:rFonts w:hint="eastAsia"/>
                <w:szCs w:val="21"/>
              </w:rPr>
              <w:t>了解食品生产者、食品经营者等食品追溯各环节具体生产经营活动信息</w:t>
            </w:r>
          </w:p>
        </w:tc>
        <w:tc>
          <w:tcPr>
            <w:tcW w:w="2642" w:type="dxa"/>
          </w:tcPr>
          <w:p w:rsidR="00F3317A" w:rsidRPr="00F3317A" w:rsidRDefault="00F3317A" w:rsidP="00F454CB">
            <w:pPr>
              <w:spacing w:line="360" w:lineRule="auto"/>
              <w:rPr>
                <w:szCs w:val="21"/>
              </w:rPr>
            </w:pPr>
            <w:r w:rsidRPr="00F3317A">
              <w:rPr>
                <w:rFonts w:hint="eastAsia"/>
                <w:szCs w:val="21"/>
              </w:rPr>
              <w:t>赴深圳南顺油脂有限公司调研</w:t>
            </w:r>
          </w:p>
        </w:tc>
        <w:tc>
          <w:tcPr>
            <w:tcW w:w="2036" w:type="dxa"/>
          </w:tcPr>
          <w:p w:rsidR="00F3317A" w:rsidRPr="00F3317A" w:rsidRDefault="00F3317A" w:rsidP="00F454CB">
            <w:pPr>
              <w:spacing w:line="360" w:lineRule="auto"/>
              <w:rPr>
                <w:szCs w:val="21"/>
              </w:rPr>
            </w:pPr>
            <w:r w:rsidRPr="00F3317A">
              <w:rPr>
                <w:rFonts w:hint="eastAsia"/>
                <w:szCs w:val="21"/>
              </w:rPr>
              <w:t>2014.4.17</w:t>
            </w:r>
          </w:p>
        </w:tc>
      </w:tr>
      <w:tr w:rsidR="00F3317A" w:rsidRPr="00F3317A" w:rsidTr="00F454CB">
        <w:trPr>
          <w:jc w:val="center"/>
        </w:trPr>
        <w:tc>
          <w:tcPr>
            <w:tcW w:w="1961" w:type="dxa"/>
            <w:gridSpan w:val="2"/>
            <w:vMerge/>
          </w:tcPr>
          <w:p w:rsidR="00F3317A" w:rsidRPr="00F3317A" w:rsidRDefault="00F3317A" w:rsidP="00F454CB">
            <w:pPr>
              <w:spacing w:line="360" w:lineRule="auto"/>
              <w:rPr>
                <w:b/>
                <w:szCs w:val="21"/>
              </w:rPr>
            </w:pPr>
          </w:p>
        </w:tc>
        <w:tc>
          <w:tcPr>
            <w:tcW w:w="2004" w:type="dxa"/>
            <w:vMerge/>
          </w:tcPr>
          <w:p w:rsidR="00F3317A" w:rsidRPr="00F3317A" w:rsidRDefault="00F3317A" w:rsidP="00F454CB">
            <w:pPr>
              <w:spacing w:line="360" w:lineRule="auto"/>
              <w:rPr>
                <w:szCs w:val="21"/>
              </w:rPr>
            </w:pPr>
          </w:p>
        </w:tc>
        <w:tc>
          <w:tcPr>
            <w:tcW w:w="2642" w:type="dxa"/>
          </w:tcPr>
          <w:p w:rsidR="00F3317A" w:rsidRPr="00F3317A" w:rsidRDefault="00F3317A" w:rsidP="00F454CB">
            <w:pPr>
              <w:spacing w:line="360" w:lineRule="auto"/>
              <w:rPr>
                <w:szCs w:val="21"/>
              </w:rPr>
            </w:pPr>
            <w:r w:rsidRPr="00F3317A">
              <w:rPr>
                <w:rFonts w:hint="eastAsia"/>
                <w:szCs w:val="21"/>
              </w:rPr>
              <w:t>赴深圳南海粮食工业有限公司调研</w:t>
            </w:r>
          </w:p>
        </w:tc>
        <w:tc>
          <w:tcPr>
            <w:tcW w:w="2036" w:type="dxa"/>
          </w:tcPr>
          <w:p w:rsidR="00F3317A" w:rsidRPr="00F3317A" w:rsidRDefault="00F3317A" w:rsidP="00F454CB">
            <w:pPr>
              <w:spacing w:line="360" w:lineRule="auto"/>
              <w:rPr>
                <w:szCs w:val="21"/>
              </w:rPr>
            </w:pPr>
            <w:r w:rsidRPr="00F3317A">
              <w:rPr>
                <w:rFonts w:hint="eastAsia"/>
                <w:szCs w:val="21"/>
              </w:rPr>
              <w:t>2014.4.25</w:t>
            </w:r>
          </w:p>
        </w:tc>
      </w:tr>
      <w:tr w:rsidR="00F3317A" w:rsidRPr="00F3317A" w:rsidTr="00F454CB">
        <w:trPr>
          <w:jc w:val="center"/>
        </w:trPr>
        <w:tc>
          <w:tcPr>
            <w:tcW w:w="1961" w:type="dxa"/>
            <w:gridSpan w:val="2"/>
            <w:vMerge/>
          </w:tcPr>
          <w:p w:rsidR="00F3317A" w:rsidRPr="00F3317A" w:rsidRDefault="00F3317A" w:rsidP="00F454CB">
            <w:pPr>
              <w:spacing w:line="360" w:lineRule="auto"/>
              <w:rPr>
                <w:b/>
                <w:szCs w:val="21"/>
              </w:rPr>
            </w:pPr>
          </w:p>
        </w:tc>
        <w:tc>
          <w:tcPr>
            <w:tcW w:w="2004" w:type="dxa"/>
            <w:vMerge/>
          </w:tcPr>
          <w:p w:rsidR="00F3317A" w:rsidRPr="00F3317A" w:rsidRDefault="00F3317A" w:rsidP="00F454CB">
            <w:pPr>
              <w:spacing w:line="360" w:lineRule="auto"/>
              <w:rPr>
                <w:szCs w:val="21"/>
              </w:rPr>
            </w:pPr>
          </w:p>
        </w:tc>
        <w:tc>
          <w:tcPr>
            <w:tcW w:w="2642" w:type="dxa"/>
          </w:tcPr>
          <w:p w:rsidR="00F3317A" w:rsidRPr="00F3317A" w:rsidRDefault="00F3317A" w:rsidP="00F454CB">
            <w:pPr>
              <w:spacing w:line="360" w:lineRule="auto"/>
              <w:rPr>
                <w:szCs w:val="21"/>
              </w:rPr>
            </w:pPr>
            <w:r w:rsidRPr="00F3317A">
              <w:rPr>
                <w:rFonts w:hint="eastAsia"/>
                <w:szCs w:val="21"/>
              </w:rPr>
              <w:t>赴深圳华润怡宝食品饮料有限公司调研</w:t>
            </w:r>
          </w:p>
        </w:tc>
        <w:tc>
          <w:tcPr>
            <w:tcW w:w="2036" w:type="dxa"/>
          </w:tcPr>
          <w:p w:rsidR="00F3317A" w:rsidRPr="00F3317A" w:rsidRDefault="00F3317A" w:rsidP="00F454CB">
            <w:pPr>
              <w:spacing w:line="360" w:lineRule="auto"/>
              <w:rPr>
                <w:szCs w:val="21"/>
              </w:rPr>
            </w:pPr>
            <w:r w:rsidRPr="00F3317A">
              <w:rPr>
                <w:rFonts w:hint="eastAsia"/>
                <w:szCs w:val="21"/>
              </w:rPr>
              <w:t>2014.7.15</w:t>
            </w:r>
          </w:p>
        </w:tc>
      </w:tr>
      <w:tr w:rsidR="00F3317A" w:rsidRPr="00F3317A" w:rsidTr="00F454CB">
        <w:trPr>
          <w:jc w:val="center"/>
        </w:trPr>
        <w:tc>
          <w:tcPr>
            <w:tcW w:w="1961" w:type="dxa"/>
            <w:gridSpan w:val="2"/>
            <w:vMerge/>
          </w:tcPr>
          <w:p w:rsidR="00F3317A" w:rsidRPr="00F3317A" w:rsidRDefault="00F3317A" w:rsidP="00F454CB">
            <w:pPr>
              <w:spacing w:line="360" w:lineRule="auto"/>
              <w:rPr>
                <w:b/>
                <w:szCs w:val="21"/>
              </w:rPr>
            </w:pPr>
          </w:p>
        </w:tc>
        <w:tc>
          <w:tcPr>
            <w:tcW w:w="2004" w:type="dxa"/>
            <w:vMerge/>
          </w:tcPr>
          <w:p w:rsidR="00F3317A" w:rsidRPr="00F3317A" w:rsidRDefault="00F3317A" w:rsidP="00F454CB">
            <w:pPr>
              <w:spacing w:line="360" w:lineRule="auto"/>
              <w:rPr>
                <w:szCs w:val="21"/>
              </w:rPr>
            </w:pPr>
          </w:p>
        </w:tc>
        <w:tc>
          <w:tcPr>
            <w:tcW w:w="2642" w:type="dxa"/>
          </w:tcPr>
          <w:p w:rsidR="00F3317A" w:rsidRPr="00F3317A" w:rsidRDefault="00F3317A" w:rsidP="00F454CB">
            <w:pPr>
              <w:spacing w:line="360" w:lineRule="auto"/>
              <w:rPr>
                <w:szCs w:val="21"/>
              </w:rPr>
            </w:pPr>
            <w:r w:rsidRPr="00F3317A">
              <w:rPr>
                <w:rFonts w:hint="eastAsia"/>
                <w:szCs w:val="21"/>
              </w:rPr>
              <w:t>邀食品经营企业参加标准讨论会，天虹、新一佳、华润万家、麦德龙、永旺、人人乐六家零售企业对标准给出了意见。</w:t>
            </w:r>
          </w:p>
        </w:tc>
        <w:tc>
          <w:tcPr>
            <w:tcW w:w="2036" w:type="dxa"/>
          </w:tcPr>
          <w:p w:rsidR="00F3317A" w:rsidRPr="00F3317A" w:rsidRDefault="00F3317A" w:rsidP="00F454CB">
            <w:pPr>
              <w:spacing w:line="360" w:lineRule="auto"/>
              <w:rPr>
                <w:szCs w:val="21"/>
              </w:rPr>
            </w:pPr>
            <w:r w:rsidRPr="00F3317A">
              <w:rPr>
                <w:rFonts w:hint="eastAsia"/>
                <w:szCs w:val="21"/>
              </w:rPr>
              <w:t>2014.7.25</w:t>
            </w:r>
          </w:p>
        </w:tc>
      </w:tr>
      <w:tr w:rsidR="00E936F1" w:rsidRPr="00F3317A" w:rsidTr="00F454CB">
        <w:trPr>
          <w:jc w:val="center"/>
        </w:trPr>
        <w:tc>
          <w:tcPr>
            <w:tcW w:w="1961" w:type="dxa"/>
            <w:gridSpan w:val="2"/>
            <w:vMerge w:val="restart"/>
          </w:tcPr>
          <w:p w:rsidR="00E936F1" w:rsidRPr="00F3317A" w:rsidRDefault="00E936F1" w:rsidP="00F454CB">
            <w:pPr>
              <w:spacing w:line="360" w:lineRule="auto"/>
              <w:rPr>
                <w:b/>
                <w:szCs w:val="21"/>
              </w:rPr>
            </w:pPr>
          </w:p>
          <w:p w:rsidR="00E936F1" w:rsidRPr="00F3317A" w:rsidRDefault="00E936F1" w:rsidP="00F3317A">
            <w:pPr>
              <w:spacing w:line="360" w:lineRule="auto"/>
              <w:ind w:firstLineChars="100" w:firstLine="211"/>
              <w:rPr>
                <w:b/>
                <w:szCs w:val="21"/>
              </w:rPr>
            </w:pPr>
          </w:p>
          <w:p w:rsidR="00E936F1" w:rsidRPr="00F3317A" w:rsidRDefault="00E936F1" w:rsidP="00F3317A">
            <w:pPr>
              <w:spacing w:line="360" w:lineRule="auto"/>
              <w:ind w:firstLineChars="100" w:firstLine="211"/>
              <w:rPr>
                <w:b/>
                <w:szCs w:val="21"/>
              </w:rPr>
            </w:pPr>
          </w:p>
          <w:p w:rsidR="00E936F1" w:rsidRPr="00F3317A" w:rsidRDefault="00E936F1" w:rsidP="00F454CB">
            <w:pPr>
              <w:spacing w:line="360" w:lineRule="auto"/>
              <w:rPr>
                <w:b/>
                <w:szCs w:val="21"/>
              </w:rPr>
            </w:pPr>
            <w:r w:rsidRPr="00F3317A">
              <w:rPr>
                <w:rFonts w:hint="eastAsia"/>
                <w:b/>
                <w:szCs w:val="21"/>
              </w:rPr>
              <w:t>标准编制</w:t>
            </w:r>
          </w:p>
        </w:tc>
        <w:tc>
          <w:tcPr>
            <w:tcW w:w="2004" w:type="dxa"/>
          </w:tcPr>
          <w:p w:rsidR="00E936F1" w:rsidRPr="00F3317A" w:rsidRDefault="00E936F1" w:rsidP="00F454CB">
            <w:pPr>
              <w:spacing w:line="360" w:lineRule="auto"/>
              <w:rPr>
                <w:szCs w:val="21"/>
              </w:rPr>
            </w:pPr>
            <w:r w:rsidRPr="00F3317A">
              <w:rPr>
                <w:rFonts w:hint="eastAsia"/>
                <w:szCs w:val="21"/>
              </w:rPr>
              <w:t>制定标准</w:t>
            </w:r>
          </w:p>
        </w:tc>
        <w:tc>
          <w:tcPr>
            <w:tcW w:w="2642" w:type="dxa"/>
          </w:tcPr>
          <w:p w:rsidR="00E936F1" w:rsidRPr="00F3317A" w:rsidRDefault="00E936F1" w:rsidP="00F454CB">
            <w:pPr>
              <w:pStyle w:val="a5"/>
              <w:numPr>
                <w:ilvl w:val="0"/>
                <w:numId w:val="4"/>
              </w:numPr>
              <w:spacing w:line="360" w:lineRule="auto"/>
              <w:ind w:firstLineChars="0"/>
              <w:rPr>
                <w:szCs w:val="21"/>
              </w:rPr>
            </w:pPr>
            <w:r w:rsidRPr="00F3317A">
              <w:rPr>
                <w:rFonts w:hint="eastAsia"/>
                <w:szCs w:val="21"/>
              </w:rPr>
              <w:t>成立起草小组</w:t>
            </w:r>
          </w:p>
          <w:p w:rsidR="00E936F1" w:rsidRPr="00F3317A" w:rsidRDefault="00E936F1" w:rsidP="00F454CB">
            <w:pPr>
              <w:pStyle w:val="a5"/>
              <w:numPr>
                <w:ilvl w:val="0"/>
                <w:numId w:val="4"/>
              </w:numPr>
              <w:spacing w:line="360" w:lineRule="auto"/>
              <w:ind w:firstLineChars="0"/>
              <w:rPr>
                <w:szCs w:val="21"/>
              </w:rPr>
            </w:pPr>
            <w:r w:rsidRPr="00F3317A">
              <w:rPr>
                <w:rFonts w:hint="eastAsia"/>
                <w:szCs w:val="21"/>
              </w:rPr>
              <w:t>制定任务分解方案</w:t>
            </w:r>
          </w:p>
          <w:p w:rsidR="00E936F1" w:rsidRPr="00F3317A" w:rsidRDefault="00E936F1" w:rsidP="00F454CB">
            <w:pPr>
              <w:pStyle w:val="a5"/>
              <w:numPr>
                <w:ilvl w:val="0"/>
                <w:numId w:val="4"/>
              </w:numPr>
              <w:spacing w:line="360" w:lineRule="auto"/>
              <w:ind w:firstLineChars="0"/>
              <w:rPr>
                <w:szCs w:val="21"/>
              </w:rPr>
            </w:pPr>
            <w:r w:rsidRPr="00F3317A">
              <w:rPr>
                <w:rFonts w:hint="eastAsia"/>
                <w:szCs w:val="21"/>
              </w:rPr>
              <w:t>标准起草</w:t>
            </w:r>
          </w:p>
        </w:tc>
        <w:tc>
          <w:tcPr>
            <w:tcW w:w="2036" w:type="dxa"/>
          </w:tcPr>
          <w:p w:rsidR="00E936F1" w:rsidRPr="00F3317A" w:rsidRDefault="00E936F1" w:rsidP="00F454CB">
            <w:pPr>
              <w:spacing w:line="360" w:lineRule="auto"/>
              <w:rPr>
                <w:szCs w:val="21"/>
              </w:rPr>
            </w:pPr>
          </w:p>
          <w:p w:rsidR="00E936F1" w:rsidRPr="00F3317A" w:rsidRDefault="00E936F1" w:rsidP="00F454CB">
            <w:pPr>
              <w:spacing w:line="360" w:lineRule="auto"/>
              <w:rPr>
                <w:szCs w:val="21"/>
              </w:rPr>
            </w:pPr>
            <w:r w:rsidRPr="00F3317A">
              <w:rPr>
                <w:rFonts w:hint="eastAsia"/>
                <w:szCs w:val="21"/>
              </w:rPr>
              <w:t>2014.5-2014.7</w:t>
            </w:r>
          </w:p>
        </w:tc>
      </w:tr>
      <w:tr w:rsidR="00E936F1" w:rsidRPr="00F3317A" w:rsidTr="00F454CB">
        <w:trPr>
          <w:jc w:val="center"/>
        </w:trPr>
        <w:tc>
          <w:tcPr>
            <w:tcW w:w="1961" w:type="dxa"/>
            <w:gridSpan w:val="2"/>
            <w:vMerge/>
          </w:tcPr>
          <w:p w:rsidR="00E936F1" w:rsidRPr="00F3317A" w:rsidRDefault="00E936F1" w:rsidP="00F454CB">
            <w:pPr>
              <w:spacing w:line="360" w:lineRule="auto"/>
              <w:rPr>
                <w:szCs w:val="21"/>
              </w:rPr>
            </w:pPr>
          </w:p>
        </w:tc>
        <w:tc>
          <w:tcPr>
            <w:tcW w:w="2004" w:type="dxa"/>
          </w:tcPr>
          <w:p w:rsidR="00E936F1" w:rsidRPr="00F3317A" w:rsidRDefault="00E936F1" w:rsidP="00F454CB">
            <w:pPr>
              <w:spacing w:line="360" w:lineRule="auto"/>
              <w:rPr>
                <w:szCs w:val="21"/>
              </w:rPr>
            </w:pPr>
            <w:r w:rsidRPr="00F3317A">
              <w:rPr>
                <w:rFonts w:hint="eastAsia"/>
                <w:szCs w:val="21"/>
              </w:rPr>
              <w:t>征求意见</w:t>
            </w:r>
          </w:p>
        </w:tc>
        <w:tc>
          <w:tcPr>
            <w:tcW w:w="2642" w:type="dxa"/>
          </w:tcPr>
          <w:p w:rsidR="00E936F1" w:rsidRPr="00F3317A" w:rsidRDefault="00E936F1" w:rsidP="00F454CB">
            <w:pPr>
              <w:spacing w:line="360" w:lineRule="auto"/>
              <w:rPr>
                <w:szCs w:val="21"/>
              </w:rPr>
            </w:pPr>
            <w:r w:rsidRPr="00F3317A">
              <w:rPr>
                <w:rFonts w:hint="eastAsia"/>
                <w:szCs w:val="21"/>
              </w:rPr>
              <w:t>向各调研企业征求意见</w:t>
            </w:r>
          </w:p>
        </w:tc>
        <w:tc>
          <w:tcPr>
            <w:tcW w:w="2036" w:type="dxa"/>
          </w:tcPr>
          <w:p w:rsidR="00E936F1" w:rsidRPr="00F3317A" w:rsidRDefault="00E936F1" w:rsidP="00F454CB">
            <w:pPr>
              <w:spacing w:line="360" w:lineRule="auto"/>
              <w:rPr>
                <w:szCs w:val="21"/>
              </w:rPr>
            </w:pPr>
            <w:r w:rsidRPr="00F3317A">
              <w:rPr>
                <w:rFonts w:hint="eastAsia"/>
                <w:szCs w:val="21"/>
              </w:rPr>
              <w:t>2014.7</w:t>
            </w:r>
          </w:p>
        </w:tc>
      </w:tr>
      <w:tr w:rsidR="00E936F1" w:rsidRPr="00F3317A" w:rsidTr="00F454CB">
        <w:trPr>
          <w:jc w:val="center"/>
        </w:trPr>
        <w:tc>
          <w:tcPr>
            <w:tcW w:w="1961" w:type="dxa"/>
            <w:gridSpan w:val="2"/>
            <w:vMerge/>
          </w:tcPr>
          <w:p w:rsidR="00E936F1" w:rsidRPr="00F3317A" w:rsidRDefault="00E936F1" w:rsidP="00F454CB">
            <w:pPr>
              <w:spacing w:line="360" w:lineRule="auto"/>
              <w:rPr>
                <w:szCs w:val="21"/>
              </w:rPr>
            </w:pPr>
          </w:p>
        </w:tc>
        <w:tc>
          <w:tcPr>
            <w:tcW w:w="2004" w:type="dxa"/>
          </w:tcPr>
          <w:p w:rsidR="00E936F1" w:rsidRPr="00F3317A" w:rsidRDefault="00E936F1" w:rsidP="00F454CB">
            <w:pPr>
              <w:spacing w:line="360" w:lineRule="auto"/>
              <w:rPr>
                <w:szCs w:val="21"/>
              </w:rPr>
            </w:pPr>
            <w:r w:rsidRPr="00F3317A">
              <w:rPr>
                <w:rFonts w:hint="eastAsia"/>
                <w:szCs w:val="21"/>
              </w:rPr>
              <w:t>标准修改</w:t>
            </w:r>
          </w:p>
        </w:tc>
        <w:tc>
          <w:tcPr>
            <w:tcW w:w="2642" w:type="dxa"/>
          </w:tcPr>
          <w:p w:rsidR="00E936F1" w:rsidRPr="00F3317A" w:rsidRDefault="00E936F1" w:rsidP="00F454CB">
            <w:pPr>
              <w:spacing w:line="360" w:lineRule="auto"/>
              <w:rPr>
                <w:szCs w:val="21"/>
              </w:rPr>
            </w:pPr>
            <w:r w:rsidRPr="00F3317A">
              <w:rPr>
                <w:rFonts w:hint="eastAsia"/>
                <w:szCs w:val="21"/>
              </w:rPr>
              <w:t>整理意见反馈，对标准进行全面修改</w:t>
            </w:r>
          </w:p>
        </w:tc>
        <w:tc>
          <w:tcPr>
            <w:tcW w:w="2036" w:type="dxa"/>
          </w:tcPr>
          <w:p w:rsidR="00E936F1" w:rsidRPr="00F3317A" w:rsidRDefault="00E936F1" w:rsidP="00F454CB">
            <w:pPr>
              <w:spacing w:line="360" w:lineRule="auto"/>
              <w:rPr>
                <w:szCs w:val="21"/>
              </w:rPr>
            </w:pPr>
            <w:r w:rsidRPr="00F3317A">
              <w:rPr>
                <w:rFonts w:hint="eastAsia"/>
                <w:szCs w:val="21"/>
              </w:rPr>
              <w:t>2014.7</w:t>
            </w:r>
          </w:p>
        </w:tc>
      </w:tr>
      <w:tr w:rsidR="00E936F1" w:rsidRPr="00F3317A" w:rsidTr="00E936F1">
        <w:trPr>
          <w:trHeight w:val="750"/>
          <w:jc w:val="center"/>
        </w:trPr>
        <w:tc>
          <w:tcPr>
            <w:tcW w:w="1961" w:type="dxa"/>
            <w:gridSpan w:val="2"/>
            <w:vMerge/>
          </w:tcPr>
          <w:p w:rsidR="00E936F1" w:rsidRPr="00F3317A" w:rsidRDefault="00E936F1" w:rsidP="00F454CB">
            <w:pPr>
              <w:spacing w:line="360" w:lineRule="auto"/>
              <w:rPr>
                <w:szCs w:val="21"/>
              </w:rPr>
            </w:pPr>
          </w:p>
        </w:tc>
        <w:tc>
          <w:tcPr>
            <w:tcW w:w="2004" w:type="dxa"/>
          </w:tcPr>
          <w:p w:rsidR="00E936F1" w:rsidRPr="00F3317A" w:rsidRDefault="00E936F1" w:rsidP="00F454CB">
            <w:pPr>
              <w:spacing w:line="360" w:lineRule="auto"/>
              <w:rPr>
                <w:szCs w:val="21"/>
              </w:rPr>
            </w:pPr>
            <w:r w:rsidRPr="00F3317A">
              <w:rPr>
                <w:rFonts w:hint="eastAsia"/>
                <w:szCs w:val="21"/>
              </w:rPr>
              <w:t>标准研讨会</w:t>
            </w:r>
          </w:p>
        </w:tc>
        <w:tc>
          <w:tcPr>
            <w:tcW w:w="2642" w:type="dxa"/>
          </w:tcPr>
          <w:p w:rsidR="00E936F1" w:rsidRPr="00E936F1" w:rsidRDefault="00E936F1" w:rsidP="00F454CB">
            <w:pPr>
              <w:spacing w:line="360" w:lineRule="auto"/>
              <w:rPr>
                <w:szCs w:val="21"/>
              </w:rPr>
            </w:pPr>
            <w:r w:rsidRPr="00F3317A">
              <w:rPr>
                <w:rFonts w:hint="eastAsia"/>
                <w:szCs w:val="21"/>
              </w:rPr>
              <w:t>召开专家研讨会，征集业界专家意见</w:t>
            </w:r>
            <w:r w:rsidR="00862C64">
              <w:rPr>
                <w:rFonts w:hint="eastAsia"/>
                <w:szCs w:val="21"/>
              </w:rPr>
              <w:t>，</w:t>
            </w:r>
            <w:r w:rsidR="00862C64">
              <w:rPr>
                <w:szCs w:val="21"/>
              </w:rPr>
              <w:t>标准编制组根据专家意见对</w:t>
            </w:r>
            <w:r w:rsidR="00862C64">
              <w:rPr>
                <w:rFonts w:hint="eastAsia"/>
                <w:szCs w:val="21"/>
              </w:rPr>
              <w:t>本</w:t>
            </w:r>
            <w:r w:rsidR="00862C64">
              <w:rPr>
                <w:szCs w:val="21"/>
              </w:rPr>
              <w:t>标准全面修改</w:t>
            </w:r>
            <w:r w:rsidR="00862C64">
              <w:rPr>
                <w:rFonts w:hint="eastAsia"/>
                <w:szCs w:val="21"/>
              </w:rPr>
              <w:t>。</w:t>
            </w:r>
          </w:p>
        </w:tc>
        <w:tc>
          <w:tcPr>
            <w:tcW w:w="2036" w:type="dxa"/>
          </w:tcPr>
          <w:p w:rsidR="00E936F1" w:rsidRPr="00F3317A" w:rsidRDefault="00E936F1" w:rsidP="00F454CB">
            <w:pPr>
              <w:spacing w:line="360" w:lineRule="auto"/>
              <w:rPr>
                <w:szCs w:val="21"/>
              </w:rPr>
            </w:pPr>
            <w:r>
              <w:rPr>
                <w:rFonts w:hint="eastAsia"/>
                <w:szCs w:val="21"/>
              </w:rPr>
              <w:t>2014.8.</w:t>
            </w:r>
            <w:r w:rsidRPr="00F3317A">
              <w:rPr>
                <w:rFonts w:hint="eastAsia"/>
                <w:szCs w:val="21"/>
              </w:rPr>
              <w:t>5</w:t>
            </w:r>
          </w:p>
        </w:tc>
      </w:tr>
      <w:tr w:rsidR="00E936F1" w:rsidRPr="00F3317A" w:rsidTr="00F454CB">
        <w:trPr>
          <w:trHeight w:val="660"/>
          <w:jc w:val="center"/>
        </w:trPr>
        <w:tc>
          <w:tcPr>
            <w:tcW w:w="1961" w:type="dxa"/>
            <w:gridSpan w:val="2"/>
            <w:vMerge/>
          </w:tcPr>
          <w:p w:rsidR="00E936F1" w:rsidRPr="00F3317A" w:rsidRDefault="00E936F1" w:rsidP="00E936F1">
            <w:pPr>
              <w:spacing w:line="360" w:lineRule="auto"/>
              <w:rPr>
                <w:szCs w:val="21"/>
              </w:rPr>
            </w:pPr>
          </w:p>
        </w:tc>
        <w:tc>
          <w:tcPr>
            <w:tcW w:w="2004" w:type="dxa"/>
          </w:tcPr>
          <w:p w:rsidR="00E936F1" w:rsidRPr="00F3317A" w:rsidRDefault="00E936F1" w:rsidP="00E936F1">
            <w:pPr>
              <w:spacing w:line="360" w:lineRule="auto"/>
              <w:rPr>
                <w:szCs w:val="21"/>
              </w:rPr>
            </w:pPr>
            <w:r w:rsidRPr="00F3317A">
              <w:rPr>
                <w:rFonts w:hint="eastAsia"/>
                <w:szCs w:val="21"/>
              </w:rPr>
              <w:t>标准研讨会</w:t>
            </w:r>
          </w:p>
        </w:tc>
        <w:tc>
          <w:tcPr>
            <w:tcW w:w="2642" w:type="dxa"/>
          </w:tcPr>
          <w:p w:rsidR="00E936F1" w:rsidRPr="00E936F1" w:rsidRDefault="00E936F1" w:rsidP="00E936F1">
            <w:pPr>
              <w:spacing w:line="360" w:lineRule="auto"/>
              <w:rPr>
                <w:szCs w:val="21"/>
              </w:rPr>
            </w:pPr>
            <w:r>
              <w:rPr>
                <w:rFonts w:hint="eastAsia"/>
                <w:szCs w:val="21"/>
              </w:rPr>
              <w:t>再次</w:t>
            </w:r>
            <w:r w:rsidRPr="00F3317A">
              <w:rPr>
                <w:rFonts w:hint="eastAsia"/>
                <w:szCs w:val="21"/>
              </w:rPr>
              <w:t>召开专家研讨会，征集业界专家意见</w:t>
            </w:r>
            <w:r w:rsidR="00862C64">
              <w:rPr>
                <w:rFonts w:hint="eastAsia"/>
                <w:szCs w:val="21"/>
              </w:rPr>
              <w:t>，</w:t>
            </w:r>
            <w:r w:rsidR="00862C64">
              <w:rPr>
                <w:szCs w:val="21"/>
              </w:rPr>
              <w:t>标准编制组根据专家意见对</w:t>
            </w:r>
            <w:r w:rsidR="00862C64">
              <w:rPr>
                <w:rFonts w:hint="eastAsia"/>
                <w:szCs w:val="21"/>
              </w:rPr>
              <w:t>本</w:t>
            </w:r>
            <w:r w:rsidR="00862C64">
              <w:rPr>
                <w:szCs w:val="21"/>
              </w:rPr>
              <w:t>标准全面修改</w:t>
            </w:r>
            <w:r w:rsidR="00862C64">
              <w:rPr>
                <w:rFonts w:hint="eastAsia"/>
                <w:szCs w:val="21"/>
              </w:rPr>
              <w:t>。</w:t>
            </w:r>
          </w:p>
        </w:tc>
        <w:tc>
          <w:tcPr>
            <w:tcW w:w="2036" w:type="dxa"/>
          </w:tcPr>
          <w:p w:rsidR="00E936F1" w:rsidRPr="00F3317A" w:rsidRDefault="00E936F1" w:rsidP="00E936F1">
            <w:pPr>
              <w:spacing w:line="360" w:lineRule="auto"/>
              <w:rPr>
                <w:szCs w:val="21"/>
              </w:rPr>
            </w:pPr>
            <w:r>
              <w:rPr>
                <w:rFonts w:hint="eastAsia"/>
                <w:szCs w:val="21"/>
              </w:rPr>
              <w:t>2016.7.1</w:t>
            </w:r>
            <w:r w:rsidRPr="00F3317A">
              <w:rPr>
                <w:rFonts w:hint="eastAsia"/>
                <w:szCs w:val="21"/>
              </w:rPr>
              <w:t>5</w:t>
            </w:r>
          </w:p>
        </w:tc>
      </w:tr>
    </w:tbl>
    <w:p w:rsidR="008F3B10" w:rsidRPr="00F3317A" w:rsidRDefault="008F3B10" w:rsidP="00B637CC">
      <w:pPr>
        <w:spacing w:line="360" w:lineRule="auto"/>
        <w:jc w:val="center"/>
        <w:rPr>
          <w:rFonts w:ascii="宋体" w:hAnsi="宋体"/>
          <w:b/>
          <w:color w:val="000000"/>
          <w:szCs w:val="21"/>
        </w:rPr>
      </w:pPr>
    </w:p>
    <w:p w:rsidR="00B637CC" w:rsidRPr="008F3B10" w:rsidRDefault="00B637CC">
      <w:pPr>
        <w:spacing w:line="360" w:lineRule="auto"/>
      </w:pPr>
    </w:p>
    <w:sectPr w:rsidR="00B637CC" w:rsidRPr="008F3B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7F5" w:rsidRDefault="007E77F5" w:rsidP="008F3B10">
      <w:r>
        <w:separator/>
      </w:r>
    </w:p>
  </w:endnote>
  <w:endnote w:type="continuationSeparator" w:id="0">
    <w:p w:rsidR="007E77F5" w:rsidRDefault="007E77F5" w:rsidP="008F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7F5" w:rsidRDefault="007E77F5" w:rsidP="008F3B10">
      <w:r>
        <w:separator/>
      </w:r>
    </w:p>
  </w:footnote>
  <w:footnote w:type="continuationSeparator" w:id="0">
    <w:p w:rsidR="007E77F5" w:rsidRDefault="007E77F5" w:rsidP="008F3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20D6A"/>
    <w:multiLevelType w:val="hybridMultilevel"/>
    <w:tmpl w:val="B9F0CFE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6867C4"/>
    <w:multiLevelType w:val="hybridMultilevel"/>
    <w:tmpl w:val="ED800CE8"/>
    <w:lvl w:ilvl="0" w:tplc="FF46C1D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D848AA"/>
    <w:multiLevelType w:val="hybridMultilevel"/>
    <w:tmpl w:val="28D86BF2"/>
    <w:lvl w:ilvl="0" w:tplc="142672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76FE3FC5"/>
    <w:multiLevelType w:val="hybridMultilevel"/>
    <w:tmpl w:val="780A9040"/>
    <w:lvl w:ilvl="0" w:tplc="28AEF70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9D"/>
    <w:rsid w:val="00072614"/>
    <w:rsid w:val="000D0390"/>
    <w:rsid w:val="000E7263"/>
    <w:rsid w:val="00174D95"/>
    <w:rsid w:val="001B1DC6"/>
    <w:rsid w:val="001E6358"/>
    <w:rsid w:val="001F48ED"/>
    <w:rsid w:val="002A4EFD"/>
    <w:rsid w:val="002A7915"/>
    <w:rsid w:val="00334C09"/>
    <w:rsid w:val="00384313"/>
    <w:rsid w:val="003E22B3"/>
    <w:rsid w:val="004973D4"/>
    <w:rsid w:val="004A4593"/>
    <w:rsid w:val="004D1B52"/>
    <w:rsid w:val="004F2C52"/>
    <w:rsid w:val="0055239D"/>
    <w:rsid w:val="005544FA"/>
    <w:rsid w:val="00561856"/>
    <w:rsid w:val="005622AD"/>
    <w:rsid w:val="00570926"/>
    <w:rsid w:val="0058364F"/>
    <w:rsid w:val="005939B4"/>
    <w:rsid w:val="005B1B50"/>
    <w:rsid w:val="0062494D"/>
    <w:rsid w:val="00633AB6"/>
    <w:rsid w:val="006C60CD"/>
    <w:rsid w:val="00750727"/>
    <w:rsid w:val="0076211D"/>
    <w:rsid w:val="00797967"/>
    <w:rsid w:val="007C5EF5"/>
    <w:rsid w:val="007D639A"/>
    <w:rsid w:val="007E068F"/>
    <w:rsid w:val="007E77F5"/>
    <w:rsid w:val="00817206"/>
    <w:rsid w:val="00862C64"/>
    <w:rsid w:val="0089251A"/>
    <w:rsid w:val="008F3B10"/>
    <w:rsid w:val="00914D94"/>
    <w:rsid w:val="009337A6"/>
    <w:rsid w:val="0098321D"/>
    <w:rsid w:val="009E1DC1"/>
    <w:rsid w:val="009F50C9"/>
    <w:rsid w:val="00A47A11"/>
    <w:rsid w:val="00A537F1"/>
    <w:rsid w:val="00A5388C"/>
    <w:rsid w:val="00A92CF2"/>
    <w:rsid w:val="00AC6B31"/>
    <w:rsid w:val="00B05B83"/>
    <w:rsid w:val="00B06ABA"/>
    <w:rsid w:val="00B637CC"/>
    <w:rsid w:val="00BE312B"/>
    <w:rsid w:val="00C360DD"/>
    <w:rsid w:val="00C60DB0"/>
    <w:rsid w:val="00CA0213"/>
    <w:rsid w:val="00D60E09"/>
    <w:rsid w:val="00DE115E"/>
    <w:rsid w:val="00E150E5"/>
    <w:rsid w:val="00E27955"/>
    <w:rsid w:val="00E609EE"/>
    <w:rsid w:val="00E936F1"/>
    <w:rsid w:val="00F3317A"/>
    <w:rsid w:val="00F50A66"/>
    <w:rsid w:val="00F9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B6C19-3E98-4019-9C14-568C13BB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B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3B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3B10"/>
    <w:rPr>
      <w:sz w:val="18"/>
      <w:szCs w:val="18"/>
    </w:rPr>
  </w:style>
  <w:style w:type="paragraph" w:styleId="a4">
    <w:name w:val="footer"/>
    <w:basedOn w:val="a"/>
    <w:link w:val="Char0"/>
    <w:uiPriority w:val="99"/>
    <w:unhideWhenUsed/>
    <w:rsid w:val="008F3B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3B10"/>
    <w:rPr>
      <w:sz w:val="18"/>
      <w:szCs w:val="18"/>
    </w:rPr>
  </w:style>
  <w:style w:type="paragraph" w:styleId="a5">
    <w:name w:val="List Paragraph"/>
    <w:basedOn w:val="a"/>
    <w:uiPriority w:val="34"/>
    <w:qFormat/>
    <w:rsid w:val="00B637CC"/>
    <w:pPr>
      <w:ind w:firstLineChars="200" w:firstLine="420"/>
    </w:pPr>
  </w:style>
  <w:style w:type="paragraph" w:customStyle="1" w:styleId="a6">
    <w:name w:val="段"/>
    <w:rsid w:val="00E609EE"/>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一级条标题"/>
    <w:next w:val="a"/>
    <w:rsid w:val="004A4593"/>
    <w:pPr>
      <w:outlineLvl w:val="2"/>
    </w:pPr>
    <w:rPr>
      <w:rFonts w:ascii="Times New Roman" w:eastAsia="黑体" w:hAnsi="Times New Roman" w:cs="Times New Roman"/>
      <w:kern w:val="0"/>
      <w:szCs w:val="20"/>
    </w:rPr>
  </w:style>
  <w:style w:type="table" w:styleId="a8">
    <w:name w:val="Table Grid"/>
    <w:basedOn w:val="a1"/>
    <w:uiPriority w:val="59"/>
    <w:rsid w:val="00F3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7E068F"/>
    <w:rPr>
      <w:sz w:val="18"/>
      <w:szCs w:val="18"/>
    </w:rPr>
  </w:style>
  <w:style w:type="character" w:customStyle="1" w:styleId="Char1">
    <w:name w:val="批注框文本 Char"/>
    <w:basedOn w:val="a0"/>
    <w:link w:val="a9"/>
    <w:uiPriority w:val="99"/>
    <w:semiHidden/>
    <w:rsid w:val="007E06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699496">
      <w:bodyDiv w:val="1"/>
      <w:marLeft w:val="0"/>
      <w:marRight w:val="0"/>
      <w:marTop w:val="0"/>
      <w:marBottom w:val="0"/>
      <w:divBdr>
        <w:top w:val="none" w:sz="0" w:space="0" w:color="auto"/>
        <w:left w:val="none" w:sz="0" w:space="0" w:color="auto"/>
        <w:bottom w:val="none" w:sz="0" w:space="0" w:color="auto"/>
        <w:right w:val="none" w:sz="0" w:space="0" w:color="auto"/>
      </w:divBdr>
    </w:div>
    <w:div w:id="966929569">
      <w:bodyDiv w:val="1"/>
      <w:marLeft w:val="0"/>
      <w:marRight w:val="0"/>
      <w:marTop w:val="0"/>
      <w:marBottom w:val="0"/>
      <w:divBdr>
        <w:top w:val="none" w:sz="0" w:space="0" w:color="auto"/>
        <w:left w:val="none" w:sz="0" w:space="0" w:color="auto"/>
        <w:bottom w:val="none" w:sz="0" w:space="0" w:color="auto"/>
        <w:right w:val="none" w:sz="0" w:space="0" w:color="auto"/>
      </w:divBdr>
    </w:div>
    <w:div w:id="1300922155">
      <w:bodyDiv w:val="1"/>
      <w:marLeft w:val="0"/>
      <w:marRight w:val="0"/>
      <w:marTop w:val="0"/>
      <w:marBottom w:val="0"/>
      <w:divBdr>
        <w:top w:val="none" w:sz="0" w:space="0" w:color="auto"/>
        <w:left w:val="none" w:sz="0" w:space="0" w:color="auto"/>
        <w:bottom w:val="none" w:sz="0" w:space="0" w:color="auto"/>
        <w:right w:val="none" w:sz="0" w:space="0" w:color="auto"/>
      </w:divBdr>
    </w:div>
    <w:div w:id="1457288325">
      <w:bodyDiv w:val="1"/>
      <w:marLeft w:val="0"/>
      <w:marRight w:val="0"/>
      <w:marTop w:val="0"/>
      <w:marBottom w:val="0"/>
      <w:divBdr>
        <w:top w:val="none" w:sz="0" w:space="0" w:color="auto"/>
        <w:left w:val="none" w:sz="0" w:space="0" w:color="auto"/>
        <w:bottom w:val="none" w:sz="0" w:space="0" w:color="auto"/>
        <w:right w:val="none" w:sz="0" w:space="0" w:color="auto"/>
      </w:divBdr>
    </w:div>
    <w:div w:id="18181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655</Words>
  <Characters>3739</Characters>
  <Application>Microsoft Office Word</Application>
  <DocSecurity>0</DocSecurity>
  <Lines>31</Lines>
  <Paragraphs>8</Paragraphs>
  <ScaleCrop>false</ScaleCrop>
  <Company>Chinese ORG</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申政坤</dc:creator>
  <cp:keywords/>
  <dc:description/>
  <cp:lastModifiedBy>苏巍</cp:lastModifiedBy>
  <cp:revision>79</cp:revision>
  <dcterms:created xsi:type="dcterms:W3CDTF">2014-08-08T09:23:00Z</dcterms:created>
  <dcterms:modified xsi:type="dcterms:W3CDTF">2016-09-26T01:19:00Z</dcterms:modified>
</cp:coreProperties>
</file>